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1629" w14:textId="77777777" w:rsidR="002C494B" w:rsidRDefault="002C494B" w:rsidP="002C494B">
      <w:pPr>
        <w:jc w:val="center"/>
        <w:rPr>
          <w:b/>
          <w:bCs/>
          <w:sz w:val="28"/>
          <w:szCs w:val="32"/>
        </w:rPr>
      </w:pPr>
      <w:r w:rsidRPr="002C494B">
        <w:rPr>
          <w:b/>
          <w:bCs/>
          <w:sz w:val="28"/>
          <w:szCs w:val="32"/>
        </w:rPr>
        <w:t>業界横断型・物流データ共有プラットフォーム</w:t>
      </w:r>
    </w:p>
    <w:p w14:paraId="5D025E59" w14:textId="5FB154E0" w:rsidR="002C494B" w:rsidRPr="002C494B" w:rsidRDefault="002C494B" w:rsidP="002C494B">
      <w:pPr>
        <w:jc w:val="center"/>
        <w:rPr>
          <w:b/>
          <w:bCs/>
          <w:sz w:val="24"/>
          <w:szCs w:val="28"/>
        </w:rPr>
      </w:pPr>
      <w:r w:rsidRPr="002C494B">
        <w:rPr>
          <w:rFonts w:hint="eastAsia"/>
          <w:b/>
          <w:bCs/>
          <w:sz w:val="24"/>
          <w:szCs w:val="28"/>
        </w:rPr>
        <w:t>～</w:t>
      </w:r>
      <w:r w:rsidRPr="002C494B">
        <w:rPr>
          <w:b/>
          <w:bCs/>
          <w:sz w:val="24"/>
          <w:szCs w:val="28"/>
        </w:rPr>
        <w:t>ガバナンス・フレームワーク</w:t>
      </w:r>
      <w:r w:rsidRPr="002C494B">
        <w:rPr>
          <w:rFonts w:hint="eastAsia"/>
          <w:b/>
          <w:bCs/>
          <w:sz w:val="24"/>
          <w:szCs w:val="28"/>
        </w:rPr>
        <w:t>～</w:t>
      </w:r>
    </w:p>
    <w:p w14:paraId="1E5F25D0" w14:textId="77777777" w:rsidR="002C494B" w:rsidRDefault="002C494B" w:rsidP="002C494B"/>
    <w:p w14:paraId="3EEA5160" w14:textId="04F3F733" w:rsidR="002C494B" w:rsidRPr="002C494B" w:rsidRDefault="002C494B" w:rsidP="002C494B">
      <w:pPr>
        <w:rPr>
          <w:b/>
          <w:bCs/>
        </w:rPr>
      </w:pPr>
      <w:r w:rsidRPr="002C494B">
        <w:rPr>
          <w:b/>
          <w:bCs/>
          <w:sz w:val="22"/>
          <w:szCs w:val="24"/>
        </w:rPr>
        <w:t>1. イントロダクション：物流クライシスを乗り越えるための戦略的協調</w:t>
      </w:r>
    </w:p>
    <w:p w14:paraId="3E40AFEF" w14:textId="77777777" w:rsidR="002C494B" w:rsidRPr="002C494B" w:rsidRDefault="002C494B" w:rsidP="003D3B4F">
      <w:pPr>
        <w:ind w:firstLineChars="100" w:firstLine="210"/>
      </w:pPr>
      <w:r w:rsidRPr="002C494B">
        <w:t>日本経済は今、未曾有の「血流停止」の危機に瀕しています。2024年問題に伴う労働規制の強化により、このままでは</w:t>
      </w:r>
      <w:r w:rsidRPr="002C494B">
        <w:rPr>
          <w:b/>
          <w:bCs/>
        </w:rPr>
        <w:t>2030年には全国で約34%の荷物が運べなくなる</w:t>
      </w:r>
      <w:r w:rsidRPr="002C494B">
        <w:t>という衝撃的な予測が現実味を帯びています。この危機の正体は、日本の物流生産性が</w:t>
      </w:r>
      <w:r w:rsidRPr="002C494B">
        <w:rPr>
          <w:b/>
          <w:bCs/>
        </w:rPr>
        <w:t>米国の43%積載率が40%前後</w:t>
      </w:r>
      <w:r w:rsidRPr="002C494B">
        <w:t>で低迷し続けているという、あまりに脆弱な構造的欠陥にあります。</w:t>
      </w:r>
    </w:p>
    <w:p w14:paraId="2C277210" w14:textId="77777777" w:rsidR="003D3B4F" w:rsidRDefault="003D3B4F" w:rsidP="003D3B4F">
      <w:pPr>
        <w:ind w:firstLineChars="100" w:firstLine="210"/>
      </w:pPr>
    </w:p>
    <w:p w14:paraId="52AA386B" w14:textId="30EA6B69" w:rsidR="002C494B" w:rsidRPr="002C494B" w:rsidRDefault="002C494B" w:rsidP="003D3B4F">
      <w:pPr>
        <w:ind w:firstLineChars="100" w:firstLine="210"/>
      </w:pPr>
      <w:r w:rsidRPr="002C494B">
        <w:t>これまでの日本企業は、自社専用の車両、拠点、システムを囲い込む「垂直統合（個別最適）」に固執してきました。しかし、その結果生じたのは、バラバラのネットワークが低積載のトラックを並走させ、閑散期に膨大な資産を遊休化させるという、国家レベルの非効率です。もはや個社単位の努力で解決できる段階は過ぎ去りました。</w:t>
      </w:r>
    </w:p>
    <w:p w14:paraId="09775100" w14:textId="77777777" w:rsidR="003D3B4F" w:rsidRDefault="003D3B4F" w:rsidP="003D3B4F">
      <w:pPr>
        <w:ind w:firstLineChars="100" w:firstLine="210"/>
      </w:pPr>
    </w:p>
    <w:p w14:paraId="67433D7B" w14:textId="004F9E44" w:rsidR="002C494B" w:rsidRDefault="002C494B" w:rsidP="003D3B4F">
      <w:pPr>
        <w:ind w:firstLineChars="100" w:firstLine="210"/>
      </w:pPr>
      <w:r w:rsidRPr="002C494B">
        <w:t>我々に課せられた生存戦略は、個社の垣根を超えてアセットを共有する「</w:t>
      </w:r>
      <w:r>
        <w:t>エコシステムへ</w:t>
      </w:r>
      <w:r w:rsidRPr="002C494B">
        <w:t>」へのパラダイムシフトです。これは単なるコスト削減ではなく、「日本の産業OS」を再定義し、経済の持続性を確保するための核心的なプロセスです。次章では、この協調体制の最大の障壁となる「信頼の壁」を突破するためのデータガバナンスについて詳述します。</w:t>
      </w:r>
    </w:p>
    <w:p w14:paraId="314B0837" w14:textId="26870584" w:rsidR="002C494B" w:rsidRDefault="002C494B">
      <w:pPr>
        <w:widowControl/>
        <w:jc w:val="left"/>
      </w:pPr>
      <w:r>
        <w:br w:type="page"/>
      </w:r>
    </w:p>
    <w:p w14:paraId="199A8502" w14:textId="77777777" w:rsidR="002C494B" w:rsidRPr="002C494B" w:rsidRDefault="002C494B" w:rsidP="002C494B">
      <w:pPr>
        <w:rPr>
          <w:b/>
          <w:bCs/>
          <w:sz w:val="22"/>
          <w:szCs w:val="24"/>
        </w:rPr>
      </w:pPr>
      <w:r w:rsidRPr="002C494B">
        <w:rPr>
          <w:b/>
          <w:bCs/>
          <w:sz w:val="22"/>
          <w:szCs w:val="24"/>
        </w:rPr>
        <w:lastRenderedPageBreak/>
        <w:t>2. データ信託と秘匿性の担保：中立的ガバナンス体制の構築</w:t>
      </w:r>
    </w:p>
    <w:p w14:paraId="57ED51BA" w14:textId="77777777" w:rsidR="002C494B" w:rsidRPr="002C494B" w:rsidRDefault="002C494B" w:rsidP="002C494B">
      <w:pPr>
        <w:ind w:firstLineChars="100" w:firstLine="210"/>
      </w:pPr>
      <w:r w:rsidRPr="002C494B">
        <w:t>企業間での大規模なデータ共有を推進する上で、最大の心理的障壁は「自社の機密情報（取引先や物量データ）が競合に漏洩する懸念」と「プラットフォーム運営者がデータを独占し不当に利益を得る懸念」です。</w:t>
      </w:r>
    </w:p>
    <w:p w14:paraId="479B736B" w14:textId="77777777" w:rsidR="003D3B4F" w:rsidRDefault="003D3B4F" w:rsidP="002C494B">
      <w:pPr>
        <w:ind w:firstLineChars="100" w:firstLine="210"/>
      </w:pPr>
    </w:p>
    <w:p w14:paraId="466528A8" w14:textId="416B2C9E" w:rsidR="002C494B" w:rsidRPr="002C494B" w:rsidRDefault="002C494B" w:rsidP="002C494B">
      <w:pPr>
        <w:ind w:firstLineChars="100" w:firstLine="210"/>
      </w:pPr>
      <w:r w:rsidRPr="002C494B">
        <w:t>この懸念を払拭し、実効性のある「データドリブン・ロジスティクス」を実現する先行事例が、2024年8月に創設された**「物流ビッグデータラボ」</w:t>
      </w:r>
      <w:r w:rsidRPr="002C494B">
        <w:rPr>
          <w:b/>
          <w:bCs/>
        </w:rPr>
        <w:t>です。ここには</w:t>
      </w:r>
      <w:r w:rsidRPr="002C494B">
        <w:t>キリンビバレッジ、スギ薬局、日本製紙、アスクル、YKK AP**といった業界のトップランナーが参画し、</w:t>
      </w:r>
      <w:proofErr w:type="spellStart"/>
      <w:r w:rsidRPr="002C494B">
        <w:t>Hacobu</w:t>
      </w:r>
      <w:proofErr w:type="spellEnd"/>
      <w:r w:rsidRPr="002C494B">
        <w:t>が提唱する「物流ビッグデータ・ガバナンス委員会」のモデルに基づき、中立的なデータ活用を加速させています。</w:t>
      </w:r>
    </w:p>
    <w:p w14:paraId="31D597F0" w14:textId="77777777" w:rsidR="002C494B" w:rsidRPr="002C494B" w:rsidRDefault="002C494B" w:rsidP="003D3B4F">
      <w:pPr>
        <w:ind w:firstLineChars="100" w:firstLine="210"/>
      </w:pPr>
      <w:r w:rsidRPr="002C494B">
        <w:t>外部専門家を含む第三者視点の導入は、データの公正性を担保する「Rules of Engagement（交戦規定）」となり、企業の参画意欲を劇的に高めます。</w:t>
      </w:r>
    </w:p>
    <w:p w14:paraId="3B6A1A1D" w14:textId="77777777" w:rsidR="002C494B" w:rsidRDefault="002C494B" w:rsidP="002C494B">
      <w:pPr>
        <w:rPr>
          <w:b/>
          <w:bCs/>
        </w:rPr>
      </w:pPr>
    </w:p>
    <w:p w14:paraId="6A32A308" w14:textId="6FE64B0B" w:rsidR="002C494B" w:rsidRPr="002C494B" w:rsidRDefault="002C494B" w:rsidP="002C494B">
      <w:pPr>
        <w:numPr>
          <w:ilvl w:val="0"/>
          <w:numId w:val="1"/>
        </w:numPr>
      </w:pPr>
      <w:r w:rsidRPr="002C494B">
        <w:rPr>
          <w:b/>
          <w:bCs/>
        </w:rPr>
        <w:t>データガバナンスの3大原則</w:t>
      </w:r>
    </w:p>
    <w:p w14:paraId="33A569BC" w14:textId="77777777" w:rsidR="002C494B" w:rsidRPr="002C494B" w:rsidRDefault="002C494B" w:rsidP="002C494B">
      <w:r w:rsidRPr="002C494B">
        <w:t>• </w:t>
      </w:r>
      <w:r w:rsidRPr="002C494B">
        <w:rPr>
          <w:b/>
          <w:bCs/>
        </w:rPr>
        <w:t>中立性：</w:t>
      </w:r>
      <w:r w:rsidRPr="002C494B">
        <w:t> 第三者委員会による運用のモニタリングと、社外取締役・監査役による厳格な監督体制の構築。</w:t>
      </w:r>
    </w:p>
    <w:p w14:paraId="6BD6267D" w14:textId="77777777" w:rsidR="002C494B" w:rsidRPr="002C494B" w:rsidRDefault="002C494B" w:rsidP="002C494B">
      <w:r w:rsidRPr="002C494B">
        <w:t>• </w:t>
      </w:r>
      <w:r w:rsidRPr="002C494B">
        <w:rPr>
          <w:b/>
          <w:bCs/>
        </w:rPr>
        <w:t>透明性：</w:t>
      </w:r>
      <w:r w:rsidRPr="002C494B">
        <w:t> データ活用ガイドラインを策定・公開し、特定の企業に利益が偏らない運用を徹底する。</w:t>
      </w:r>
    </w:p>
    <w:p w14:paraId="118F7768" w14:textId="54EE3566" w:rsidR="002C494B" w:rsidRDefault="002C494B" w:rsidP="002C494B">
      <w:r w:rsidRPr="002C494B">
        <w:t>• </w:t>
      </w:r>
      <w:r w:rsidRPr="002C494B">
        <w:rPr>
          <w:b/>
          <w:bCs/>
        </w:rPr>
        <w:t>安全性：</w:t>
      </w:r>
      <w:r w:rsidRPr="002C494B">
        <w:t> 高度な技術的・組織的セキュリティ対策（暗号化、アクセス権限管理）により、データの秘匿性を維持したまま全体最適の算出を行う。</w:t>
      </w:r>
    </w:p>
    <w:p w14:paraId="51836099" w14:textId="77777777" w:rsidR="002C494B" w:rsidRDefault="002C494B">
      <w:pPr>
        <w:widowControl/>
        <w:jc w:val="left"/>
      </w:pPr>
      <w:r>
        <w:br w:type="page"/>
      </w:r>
    </w:p>
    <w:p w14:paraId="47E49D22" w14:textId="77777777" w:rsidR="002C494B" w:rsidRPr="002C494B" w:rsidRDefault="002C494B" w:rsidP="002C494B">
      <w:pPr>
        <w:rPr>
          <w:b/>
          <w:bCs/>
        </w:rPr>
      </w:pPr>
      <w:r w:rsidRPr="002C494B">
        <w:rPr>
          <w:b/>
          <w:bCs/>
        </w:rPr>
        <w:lastRenderedPageBreak/>
        <w:t>3. 共同輸配送におけるリスク共有と責任分界点の定義</w:t>
      </w:r>
    </w:p>
    <w:p w14:paraId="637ED97C" w14:textId="77777777" w:rsidR="002C494B" w:rsidRDefault="002C494B" w:rsidP="002C494B"/>
    <w:p w14:paraId="286CFEB7" w14:textId="381D9F8E" w:rsidR="002C494B" w:rsidRPr="002C494B" w:rsidRDefault="002C494B" w:rsidP="002C494B">
      <w:pPr>
        <w:ind w:firstLineChars="100" w:firstLine="210"/>
      </w:pPr>
      <w:r w:rsidRPr="002C494B">
        <w:t>資産のシェアリング、特に中継拠点でドライバーやヘッドを入れ替える**「駅伝方式（EKIDEN）」**や混載輸送を阻むのは、事故発生時の「責任の所在」の不透明さです。リスク管理は単なる安全の問題ではなく、アセットシェアを可能にするための「契約的イネーブラー（実現要素）」でなければなりません。</w:t>
      </w:r>
    </w:p>
    <w:p w14:paraId="78747264" w14:textId="77777777" w:rsidR="002C494B" w:rsidRDefault="002C494B" w:rsidP="002C494B">
      <w:pPr>
        <w:ind w:firstLineChars="100" w:firstLine="210"/>
      </w:pPr>
      <w:r w:rsidRPr="002C494B">
        <w:t>損害保険ジャパン等の知見を活用し、</w:t>
      </w:r>
      <w:proofErr w:type="spellStart"/>
      <w:r w:rsidRPr="002C494B">
        <w:t>Hacobu</w:t>
      </w:r>
      <w:proofErr w:type="spellEnd"/>
      <w:r w:rsidRPr="002C494B">
        <w:t>の動態データと連動した「動的なリスク管理」を導入することで、トラックが他社の管理エリアや責任主体に移る瞬間の責任境界を明確化します。</w:t>
      </w:r>
    </w:p>
    <w:p w14:paraId="4D44FB6B" w14:textId="77777777" w:rsidR="002C494B" w:rsidRPr="002C494B" w:rsidRDefault="002C494B" w:rsidP="002C494B">
      <w:pPr>
        <w:ind w:firstLineChars="100" w:firstLine="210"/>
        <w:rPr>
          <w:rFonts w:hint="eastAsia"/>
        </w:rPr>
      </w:pPr>
    </w:p>
    <w:p w14:paraId="26556436" w14:textId="77777777" w:rsidR="002C494B" w:rsidRPr="002C494B" w:rsidRDefault="002C494B" w:rsidP="002C494B">
      <w:r w:rsidRPr="002C494B">
        <w:t>リスク移転プロトコル（標準定義）</w:t>
      </w:r>
    </w:p>
    <w:tbl>
      <w:tblPr>
        <w:tblW w:w="0" w:type="auto"/>
        <w:tblCellMar>
          <w:top w:w="15" w:type="dxa"/>
          <w:left w:w="15" w:type="dxa"/>
          <w:bottom w:w="15" w:type="dxa"/>
          <w:right w:w="15" w:type="dxa"/>
        </w:tblCellMar>
        <w:tblLook w:val="04A0" w:firstRow="1" w:lastRow="0" w:firstColumn="1" w:lastColumn="0" w:noHBand="0" w:noVBand="1"/>
      </w:tblPr>
      <w:tblGrid>
        <w:gridCol w:w="1711"/>
        <w:gridCol w:w="3023"/>
        <w:gridCol w:w="3001"/>
        <w:gridCol w:w="2550"/>
      </w:tblGrid>
      <w:tr w:rsidR="002C494B" w:rsidRPr="002C494B" w14:paraId="05C5A6D1" w14:textId="77777777">
        <w:tc>
          <w:tcPr>
            <w:tcW w:w="0" w:type="auto"/>
            <w:vAlign w:val="center"/>
            <w:hideMark/>
          </w:tcPr>
          <w:p w14:paraId="34F22517" w14:textId="77777777" w:rsidR="002C494B" w:rsidRPr="002C494B" w:rsidRDefault="002C494B" w:rsidP="002C494B">
            <w:pPr>
              <w:rPr>
                <w:b/>
                <w:bCs/>
              </w:rPr>
            </w:pPr>
            <w:r w:rsidRPr="002C494B">
              <w:rPr>
                <w:b/>
                <w:bCs/>
              </w:rPr>
              <w:t>項目</w:t>
            </w:r>
          </w:p>
        </w:tc>
        <w:tc>
          <w:tcPr>
            <w:tcW w:w="0" w:type="auto"/>
            <w:vAlign w:val="center"/>
            <w:hideMark/>
          </w:tcPr>
          <w:p w14:paraId="4885A30B" w14:textId="77777777" w:rsidR="002C494B" w:rsidRPr="002C494B" w:rsidRDefault="002C494B" w:rsidP="002C494B">
            <w:pPr>
              <w:rPr>
                <w:b/>
                <w:bCs/>
              </w:rPr>
            </w:pPr>
            <w:r w:rsidRPr="002C494B">
              <w:rPr>
                <w:b/>
                <w:bCs/>
              </w:rPr>
              <w:t>幹線輸送（移動中）</w:t>
            </w:r>
          </w:p>
        </w:tc>
        <w:tc>
          <w:tcPr>
            <w:tcW w:w="0" w:type="auto"/>
            <w:vAlign w:val="center"/>
            <w:hideMark/>
          </w:tcPr>
          <w:p w14:paraId="49CCC5F8" w14:textId="77777777" w:rsidR="002C494B" w:rsidRPr="002C494B" w:rsidRDefault="002C494B" w:rsidP="002C494B">
            <w:pPr>
              <w:rPr>
                <w:b/>
                <w:bCs/>
              </w:rPr>
            </w:pPr>
            <w:r w:rsidRPr="002C494B">
              <w:rPr>
                <w:b/>
                <w:bCs/>
              </w:rPr>
              <w:t>中継デポ（荷換・一時保管）</w:t>
            </w:r>
          </w:p>
        </w:tc>
        <w:tc>
          <w:tcPr>
            <w:tcW w:w="0" w:type="auto"/>
            <w:vAlign w:val="center"/>
            <w:hideMark/>
          </w:tcPr>
          <w:p w14:paraId="4FD3A74A" w14:textId="77777777" w:rsidR="002C494B" w:rsidRPr="002C494B" w:rsidRDefault="002C494B" w:rsidP="002C494B">
            <w:pPr>
              <w:rPr>
                <w:b/>
                <w:bCs/>
              </w:rPr>
            </w:pPr>
            <w:r w:rsidRPr="002C494B">
              <w:rPr>
                <w:b/>
                <w:bCs/>
              </w:rPr>
              <w:t>ラストワンマイル</w:t>
            </w:r>
          </w:p>
        </w:tc>
      </w:tr>
      <w:tr w:rsidR="002C494B" w:rsidRPr="002C494B" w14:paraId="7F85A96D" w14:textId="77777777">
        <w:tc>
          <w:tcPr>
            <w:tcW w:w="0" w:type="auto"/>
            <w:vAlign w:val="center"/>
            <w:hideMark/>
          </w:tcPr>
          <w:p w14:paraId="0A9D46BE" w14:textId="77777777" w:rsidR="002C494B" w:rsidRPr="002C494B" w:rsidRDefault="002C494B" w:rsidP="002C494B">
            <w:r w:rsidRPr="002C494B">
              <w:rPr>
                <w:b/>
                <w:bCs/>
              </w:rPr>
              <w:t>主な実施モデル</w:t>
            </w:r>
          </w:p>
        </w:tc>
        <w:tc>
          <w:tcPr>
            <w:tcW w:w="0" w:type="auto"/>
            <w:vAlign w:val="center"/>
            <w:hideMark/>
          </w:tcPr>
          <w:p w14:paraId="4EAF9DF2" w14:textId="77777777" w:rsidR="002C494B" w:rsidRPr="002C494B" w:rsidRDefault="002C494B" w:rsidP="002C494B">
            <w:r w:rsidRPr="002C494B">
              <w:rPr>
                <w:b/>
                <w:bCs/>
              </w:rPr>
              <w:t>EKIDEN方式（日野・いすゞ）</w:t>
            </w:r>
          </w:p>
        </w:tc>
        <w:tc>
          <w:tcPr>
            <w:tcW w:w="0" w:type="auto"/>
            <w:vAlign w:val="center"/>
            <w:hideMark/>
          </w:tcPr>
          <w:p w14:paraId="424B2C39" w14:textId="77777777" w:rsidR="002C494B" w:rsidRPr="002C494B" w:rsidRDefault="002C494B" w:rsidP="002C494B">
            <w:r w:rsidRPr="002C494B">
              <w:rPr>
                <w:b/>
                <w:bCs/>
              </w:rPr>
              <w:t>OCDC（ヤマト・野村不動産）</w:t>
            </w:r>
          </w:p>
        </w:tc>
        <w:tc>
          <w:tcPr>
            <w:tcW w:w="0" w:type="auto"/>
            <w:vAlign w:val="center"/>
            <w:hideMark/>
          </w:tcPr>
          <w:p w14:paraId="58EC6258" w14:textId="77777777" w:rsidR="002C494B" w:rsidRPr="002C494B" w:rsidRDefault="002C494B" w:rsidP="002C494B">
            <w:r w:rsidRPr="002C494B">
              <w:t>共配ネットワーク</w:t>
            </w:r>
          </w:p>
        </w:tc>
      </w:tr>
      <w:tr w:rsidR="002C494B" w:rsidRPr="002C494B" w14:paraId="2F5489D4" w14:textId="77777777">
        <w:tc>
          <w:tcPr>
            <w:tcW w:w="0" w:type="auto"/>
            <w:vAlign w:val="center"/>
            <w:hideMark/>
          </w:tcPr>
          <w:p w14:paraId="45C1A42C" w14:textId="77777777" w:rsidR="002C494B" w:rsidRPr="002C494B" w:rsidRDefault="002C494B" w:rsidP="002C494B">
            <w:r w:rsidRPr="002C494B">
              <w:rPr>
                <w:b/>
                <w:bCs/>
              </w:rPr>
              <w:t>責任主体</w:t>
            </w:r>
          </w:p>
        </w:tc>
        <w:tc>
          <w:tcPr>
            <w:tcW w:w="0" w:type="auto"/>
            <w:vAlign w:val="center"/>
            <w:hideMark/>
          </w:tcPr>
          <w:p w14:paraId="30C40347" w14:textId="77777777" w:rsidR="002C494B" w:rsidRPr="002C494B" w:rsidRDefault="002C494B" w:rsidP="002C494B">
            <w:r w:rsidRPr="002C494B">
              <w:t>幹線運行事業者</w:t>
            </w:r>
          </w:p>
        </w:tc>
        <w:tc>
          <w:tcPr>
            <w:tcW w:w="0" w:type="auto"/>
            <w:vAlign w:val="center"/>
            <w:hideMark/>
          </w:tcPr>
          <w:p w14:paraId="6ABE85B8" w14:textId="77777777" w:rsidR="002C494B" w:rsidRPr="002C494B" w:rsidRDefault="002C494B" w:rsidP="002C494B">
            <w:r w:rsidRPr="002C494B">
              <w:t>デポ運営事業者</w:t>
            </w:r>
          </w:p>
        </w:tc>
        <w:tc>
          <w:tcPr>
            <w:tcW w:w="0" w:type="auto"/>
            <w:vAlign w:val="center"/>
            <w:hideMark/>
          </w:tcPr>
          <w:p w14:paraId="2A1CD643" w14:textId="77777777" w:rsidR="002C494B" w:rsidRPr="002C494B" w:rsidRDefault="002C494B" w:rsidP="002C494B">
            <w:r w:rsidRPr="002C494B">
              <w:t>最終配送事業者</w:t>
            </w:r>
          </w:p>
        </w:tc>
      </w:tr>
      <w:tr w:rsidR="002C494B" w:rsidRPr="002C494B" w14:paraId="5540F0FF" w14:textId="77777777">
        <w:tc>
          <w:tcPr>
            <w:tcW w:w="0" w:type="auto"/>
            <w:vAlign w:val="center"/>
            <w:hideMark/>
          </w:tcPr>
          <w:p w14:paraId="59385A6A" w14:textId="77777777" w:rsidR="002C494B" w:rsidRPr="002C494B" w:rsidRDefault="002C494B" w:rsidP="002C494B">
            <w:r w:rsidRPr="002C494B">
              <w:rPr>
                <w:b/>
                <w:bCs/>
              </w:rPr>
              <w:t>リスク移転の契機</w:t>
            </w:r>
          </w:p>
        </w:tc>
        <w:tc>
          <w:tcPr>
            <w:tcW w:w="0" w:type="auto"/>
            <w:vAlign w:val="center"/>
            <w:hideMark/>
          </w:tcPr>
          <w:p w14:paraId="61F16A86" w14:textId="77777777" w:rsidR="002C494B" w:rsidRPr="002C494B" w:rsidRDefault="002C494B" w:rsidP="002C494B">
            <w:r w:rsidRPr="002C494B">
              <w:t>拠点チェックイン完了時</w:t>
            </w:r>
          </w:p>
        </w:tc>
        <w:tc>
          <w:tcPr>
            <w:tcW w:w="0" w:type="auto"/>
            <w:vAlign w:val="center"/>
            <w:hideMark/>
          </w:tcPr>
          <w:p w14:paraId="0590849A" w14:textId="77777777" w:rsidR="002C494B" w:rsidRPr="002C494B" w:rsidRDefault="002C494B" w:rsidP="002C494B">
            <w:r w:rsidRPr="002C494B">
              <w:t>配送車両への積込完了時</w:t>
            </w:r>
          </w:p>
        </w:tc>
        <w:tc>
          <w:tcPr>
            <w:tcW w:w="0" w:type="auto"/>
            <w:vAlign w:val="center"/>
            <w:hideMark/>
          </w:tcPr>
          <w:p w14:paraId="143BCD55" w14:textId="77777777" w:rsidR="002C494B" w:rsidRPr="002C494B" w:rsidRDefault="002C494B" w:rsidP="002C494B">
            <w:r w:rsidRPr="002C494B">
              <w:t>荷受人への引渡完了時</w:t>
            </w:r>
          </w:p>
        </w:tc>
      </w:tr>
      <w:tr w:rsidR="002C494B" w:rsidRPr="002C494B" w14:paraId="056B7AB6" w14:textId="77777777">
        <w:tc>
          <w:tcPr>
            <w:tcW w:w="0" w:type="auto"/>
            <w:vAlign w:val="center"/>
            <w:hideMark/>
          </w:tcPr>
          <w:p w14:paraId="376A4C8A" w14:textId="77777777" w:rsidR="002C494B" w:rsidRPr="002C494B" w:rsidRDefault="002C494B" w:rsidP="002C494B">
            <w:r w:rsidRPr="002C494B">
              <w:rPr>
                <w:b/>
                <w:bCs/>
              </w:rPr>
              <w:t>適用保険枠組み</w:t>
            </w:r>
          </w:p>
        </w:tc>
        <w:tc>
          <w:tcPr>
            <w:tcW w:w="0" w:type="auto"/>
            <w:vAlign w:val="center"/>
            <w:hideMark/>
          </w:tcPr>
          <w:p w14:paraId="0407252D" w14:textId="77777777" w:rsidR="002C494B" w:rsidRPr="002C494B" w:rsidRDefault="002C494B" w:rsidP="002C494B">
            <w:pPr>
              <w:rPr>
                <w:lang w:eastAsia="zh-TW"/>
              </w:rPr>
            </w:pPr>
            <w:r w:rsidRPr="002C494B">
              <w:rPr>
                <w:lang w:eastAsia="zh-TW"/>
              </w:rPr>
              <w:t>共同物流専用保険（幹線）</w:t>
            </w:r>
          </w:p>
        </w:tc>
        <w:tc>
          <w:tcPr>
            <w:tcW w:w="0" w:type="auto"/>
            <w:vAlign w:val="center"/>
            <w:hideMark/>
          </w:tcPr>
          <w:p w14:paraId="2129D710" w14:textId="77777777" w:rsidR="002C494B" w:rsidRPr="002C494B" w:rsidRDefault="002C494B" w:rsidP="002C494B">
            <w:pPr>
              <w:rPr>
                <w:lang w:eastAsia="zh-TW"/>
              </w:rPr>
            </w:pPr>
            <w:r w:rsidRPr="002C494B">
              <w:rPr>
                <w:lang w:eastAsia="zh-TW"/>
              </w:rPr>
              <w:t>拠点包括保険（施設賠償等）</w:t>
            </w:r>
          </w:p>
        </w:tc>
        <w:tc>
          <w:tcPr>
            <w:tcW w:w="0" w:type="auto"/>
            <w:vAlign w:val="center"/>
            <w:hideMark/>
          </w:tcPr>
          <w:p w14:paraId="5D2C3EA0" w14:textId="77777777" w:rsidR="002C494B" w:rsidRPr="002C494B" w:rsidRDefault="002C494B" w:rsidP="002C494B">
            <w:r w:rsidRPr="002C494B">
              <w:t>共同物流専用保険（末端）</w:t>
            </w:r>
          </w:p>
        </w:tc>
      </w:tr>
    </w:tbl>
    <w:p w14:paraId="1D39D2D1" w14:textId="77777777" w:rsidR="002C494B" w:rsidRDefault="002C494B" w:rsidP="002C494B"/>
    <w:p w14:paraId="539B5057" w14:textId="77777777" w:rsidR="002C494B" w:rsidRDefault="002C494B">
      <w:pPr>
        <w:widowControl/>
        <w:jc w:val="left"/>
      </w:pPr>
      <w:r>
        <w:br w:type="page"/>
      </w:r>
    </w:p>
    <w:p w14:paraId="074F51E4" w14:textId="4E595193" w:rsidR="002C494B" w:rsidRPr="002C494B" w:rsidRDefault="002C494B" w:rsidP="002C494B">
      <w:pPr>
        <w:rPr>
          <w:b/>
          <w:bCs/>
        </w:rPr>
      </w:pPr>
      <w:r w:rsidRPr="002C494B">
        <w:rPr>
          <w:b/>
          <w:bCs/>
        </w:rPr>
        <w:lastRenderedPageBreak/>
        <w:t>4. 標準化による collective efficiency（集団的効率性）の創出</w:t>
      </w:r>
    </w:p>
    <w:p w14:paraId="497E567E" w14:textId="77777777" w:rsidR="002C494B" w:rsidRDefault="002C494B" w:rsidP="002C494B"/>
    <w:p w14:paraId="09054D08" w14:textId="0865EE94" w:rsidR="002C494B" w:rsidRPr="002C494B" w:rsidRDefault="002C494B" w:rsidP="002C494B">
      <w:pPr>
        <w:ind w:firstLineChars="100" w:firstLine="210"/>
      </w:pPr>
      <w:r w:rsidRPr="002C494B">
        <w:t>物流現場の負荷（ムリ・ムダ・ムラ）の根源は、荷姿やデータ形式の不一致です。この不一致を解消する「標準化」こそが、投資収益率（ROIC）を向上させる唯一の道です。</w:t>
      </w:r>
    </w:p>
    <w:p w14:paraId="088278A8" w14:textId="77777777" w:rsidR="003D3B4F" w:rsidRDefault="003D3B4F" w:rsidP="002C494B">
      <w:pPr>
        <w:ind w:firstLineChars="100" w:firstLine="210"/>
      </w:pPr>
    </w:p>
    <w:p w14:paraId="2B68DE09" w14:textId="31A7AC1C" w:rsidR="002C494B" w:rsidRPr="002C494B" w:rsidRDefault="002C494B" w:rsidP="002C494B">
      <w:pPr>
        <w:ind w:firstLineChars="100" w:firstLine="210"/>
      </w:pPr>
      <w:r w:rsidRPr="002C494B">
        <w:t>三甲と大塚倉庫が取り組む「レンタルパレット共有モデル」は、その圧倒的な効果を証明しています。個別回収による超長距離回送を排除した結果、</w:t>
      </w:r>
      <w:r w:rsidRPr="002C494B">
        <w:rPr>
          <w:b/>
          <w:bCs/>
        </w:rPr>
        <w:t>CO2排出量を97.3%削減</w:t>
      </w:r>
      <w:r w:rsidRPr="002C494B">
        <w:t>し、年間で</w:t>
      </w:r>
      <w:r w:rsidRPr="002C494B">
        <w:rPr>
          <w:b/>
          <w:bCs/>
        </w:rPr>
        <w:t>15万6,000kmの回送距離削減</w:t>
      </w:r>
      <w:r w:rsidRPr="002C494B">
        <w:t>と</w:t>
      </w:r>
      <w:r w:rsidRPr="002C494B">
        <w:rPr>
          <w:b/>
          <w:bCs/>
        </w:rPr>
        <w:t>1,750時間の作業時間創出</w:t>
      </w:r>
      <w:r w:rsidRPr="002C494B">
        <w:t>を達成しました。また、</w:t>
      </w:r>
      <w:proofErr w:type="spellStart"/>
      <w:r w:rsidRPr="002C494B">
        <w:t>Hacobu</w:t>
      </w:r>
      <w:proofErr w:type="spellEnd"/>
      <w:r w:rsidRPr="002C494B">
        <w:t>の分析では、標準化されたデータを活用すれば全運行の**41.3%**に共同輸送の可能性があることが判明しています。</w:t>
      </w:r>
    </w:p>
    <w:p w14:paraId="1D95C2A5" w14:textId="77777777" w:rsidR="003D3B4F" w:rsidRDefault="003D3B4F" w:rsidP="003D3B4F">
      <w:pPr>
        <w:ind w:firstLineChars="100" w:firstLine="210"/>
        <w:rPr>
          <w:b/>
          <w:bCs/>
        </w:rPr>
      </w:pPr>
    </w:p>
    <w:p w14:paraId="711AC699" w14:textId="105B6747" w:rsidR="002C494B" w:rsidRDefault="002C494B" w:rsidP="003D3B4F">
      <w:pPr>
        <w:ind w:firstLineChars="100" w:firstLine="210"/>
      </w:pPr>
      <w:r w:rsidRPr="002C494B">
        <w:rPr>
          <w:b/>
          <w:bCs/>
        </w:rPr>
        <w:t>戦略的視点（So What?）：</w:t>
      </w:r>
      <w:r w:rsidRPr="002C494B">
        <w:t> 標準化の真の価値は、単なるコスト削減に留まりません。荷姿や設備の仕様が統一されることで、三甲やダイフクといった**「イネーブラー産業（マテハン・車両）」**が「一品料理」の個別対応から脱却し、量産効果を享受できる環境が整います。これにより日本発の高度な自動化技術がグローバル標準へとスケールアウトし、日本全体のROICを底上げする強力な産業基盤へと進化するのです。</w:t>
      </w:r>
    </w:p>
    <w:p w14:paraId="4EF1AFA5" w14:textId="28EC3DC9" w:rsidR="002C494B" w:rsidRDefault="002C494B">
      <w:pPr>
        <w:widowControl/>
        <w:jc w:val="left"/>
      </w:pPr>
      <w:r>
        <w:br w:type="page"/>
      </w:r>
    </w:p>
    <w:p w14:paraId="2B41D8CA" w14:textId="4A86B213" w:rsidR="002C494B" w:rsidRPr="002C494B" w:rsidRDefault="002C494B" w:rsidP="002C494B">
      <w:pPr>
        <w:rPr>
          <w:b/>
          <w:bCs/>
        </w:rPr>
      </w:pPr>
      <w:r w:rsidRPr="002C494B">
        <w:rPr>
          <w:b/>
          <w:bCs/>
          <w:sz w:val="22"/>
          <w:szCs w:val="24"/>
        </w:rPr>
        <w:lastRenderedPageBreak/>
        <w:t>5. 5層の</w:t>
      </w:r>
      <w:r>
        <w:rPr>
          <w:b/>
          <w:bCs/>
          <w:sz w:val="22"/>
          <w:szCs w:val="24"/>
        </w:rPr>
        <w:t>エコシステムへ</w:t>
      </w:r>
      <w:r w:rsidRPr="002C494B">
        <w:rPr>
          <w:b/>
          <w:bCs/>
          <w:sz w:val="22"/>
          <w:szCs w:val="24"/>
        </w:rPr>
        <w:t>アーキテクチャ：中立的運営体の機能</w:t>
      </w:r>
    </w:p>
    <w:p w14:paraId="182684F1" w14:textId="77777777" w:rsidR="002C494B" w:rsidRPr="002C494B" w:rsidRDefault="002C494B" w:rsidP="002C494B">
      <w:pPr>
        <w:ind w:firstLineChars="100" w:firstLine="210"/>
      </w:pPr>
      <w:r w:rsidRPr="002C494B">
        <w:t>物理的なモノの流れとデジタルの情報を統合し、フィジカルインターネット（PI）を社会実装するための「5層アーキテクチャ」を定義します。各層は独立しているのではなく、密接にデータ連携することでその価値を発揮します。</w:t>
      </w:r>
    </w:p>
    <w:p w14:paraId="6C726BC1" w14:textId="77777777" w:rsidR="002C494B" w:rsidRDefault="002C494B" w:rsidP="002C494B"/>
    <w:p w14:paraId="24FAC8AF" w14:textId="6E96B657" w:rsidR="003D3B4F" w:rsidRPr="002C494B" w:rsidRDefault="002C494B" w:rsidP="003D3B4F">
      <w:pPr>
        <w:numPr>
          <w:ilvl w:val="0"/>
          <w:numId w:val="2"/>
        </w:numPr>
        <w:jc w:val="left"/>
        <w:rPr>
          <w:rFonts w:hint="eastAsia"/>
        </w:rPr>
      </w:pPr>
      <w:r w:rsidRPr="002C494B">
        <w:rPr>
          <w:b/>
          <w:bCs/>
        </w:rPr>
        <w:t>データ層：物流情報のOS</w:t>
      </w:r>
      <w:r w:rsidRPr="002C494B">
        <w:t> </w:t>
      </w:r>
      <w:r w:rsidRPr="002C494B">
        <w:rPr>
          <w:b/>
          <w:bCs/>
        </w:rPr>
        <w:t>NTTコムウェア</w:t>
      </w:r>
      <w:r w:rsidRPr="002C494B">
        <w:t>が提供する国際標準EDIと、</w:t>
      </w:r>
      <w:proofErr w:type="spellStart"/>
      <w:r w:rsidRPr="002C494B">
        <w:rPr>
          <w:b/>
          <w:bCs/>
        </w:rPr>
        <w:t>Hacobu</w:t>
      </w:r>
      <w:proofErr w:type="spellEnd"/>
      <w:r w:rsidRPr="002C494B">
        <w:t>のリアルタイム動態データを融合。これにより、41.3%の共同輸送の可能性を具体的な配車マッチングへと変換します。</w:t>
      </w:r>
    </w:p>
    <w:p w14:paraId="1F30704F" w14:textId="12B21782" w:rsidR="002C494B" w:rsidRPr="002C494B" w:rsidRDefault="002C494B" w:rsidP="003D3B4F">
      <w:pPr>
        <w:ind w:leftChars="200" w:left="420"/>
        <w:jc w:val="left"/>
      </w:pPr>
      <w:r w:rsidRPr="002C494B">
        <w:t>2</w:t>
      </w:r>
      <w:r w:rsidRPr="003D3B4F">
        <w:rPr>
          <w:rFonts w:hint="eastAsia"/>
        </w:rPr>
        <w:t>）</w:t>
      </w:r>
      <w:r w:rsidRPr="002C494B">
        <w:rPr>
          <w:b/>
          <w:bCs/>
        </w:rPr>
        <w:t>拠点層：オープンクロスドックセンター（OCDC）</w:t>
      </w:r>
      <w:r w:rsidRPr="002C494B">
        <w:t> </w:t>
      </w:r>
      <w:r w:rsidRPr="002C494B">
        <w:rPr>
          <w:b/>
          <w:bCs/>
        </w:rPr>
        <w:t>ヤマト運輸（ヤマトクロノゲート等）野村不動産</w:t>
      </w:r>
      <w:r w:rsidRPr="002C494B">
        <w:t>のマルチテナント拠点を、自社専用から「OCDC」へと開放。在庫を持たない「通過型配送」の心臓部として機能させます。</w:t>
      </w:r>
    </w:p>
    <w:p w14:paraId="2051463E" w14:textId="553C7FF6" w:rsidR="002C494B" w:rsidRPr="002C494B" w:rsidRDefault="002C494B" w:rsidP="003D3B4F">
      <w:pPr>
        <w:ind w:leftChars="200" w:left="420"/>
        <w:jc w:val="left"/>
      </w:pPr>
      <w:r w:rsidRPr="002C494B">
        <w:t>3</w:t>
      </w:r>
      <w:r w:rsidRPr="003D3B4F">
        <w:rPr>
          <w:rFonts w:hint="eastAsia"/>
        </w:rPr>
        <w:t>）</w:t>
      </w:r>
      <w:r w:rsidRPr="002C494B">
        <w:rPr>
          <w:b/>
          <w:bCs/>
        </w:rPr>
        <w:t>輸送層：移動アセットのインフラ化</w:t>
      </w:r>
      <w:r w:rsidRPr="002C494B">
        <w:t> </w:t>
      </w:r>
      <w:r w:rsidRPr="002C494B">
        <w:rPr>
          <w:b/>
          <w:bCs/>
        </w:rPr>
        <w:t>日野自動車・いすゞ自動車</w:t>
      </w:r>
      <w:r w:rsidRPr="002C494B">
        <w:t>の商用車連合が共通プロトコルを提供。**Next Logistics Japan (NLJ)**の知見をベースにした「駅伝方式」や隊列走行を標準インフラ化し、長距離ドライバー不足を根本から解決します。</w:t>
      </w:r>
    </w:p>
    <w:p w14:paraId="69006D32" w14:textId="0D05E0E1" w:rsidR="002C494B" w:rsidRPr="002C494B" w:rsidRDefault="002C494B" w:rsidP="003D3B4F">
      <w:pPr>
        <w:ind w:leftChars="200" w:left="420"/>
        <w:jc w:val="left"/>
      </w:pPr>
      <w:r w:rsidRPr="002C494B">
        <w:t>4</w:t>
      </w:r>
      <w:r w:rsidRPr="003D3B4F">
        <w:rPr>
          <w:rFonts w:hint="eastAsia"/>
        </w:rPr>
        <w:t>）</w:t>
      </w:r>
      <w:r w:rsidRPr="002C494B">
        <w:rPr>
          <w:b/>
          <w:bCs/>
        </w:rPr>
        <w:t>標準層：PIパケットとAsset as a Service (</w:t>
      </w:r>
      <w:proofErr w:type="spellStart"/>
      <w:r w:rsidRPr="002C494B">
        <w:rPr>
          <w:b/>
          <w:bCs/>
        </w:rPr>
        <w:t>AaaS</w:t>
      </w:r>
      <w:proofErr w:type="spellEnd"/>
      <w:r w:rsidRPr="002C494B">
        <w:rPr>
          <w:b/>
          <w:bCs/>
        </w:rPr>
        <w:t>)</w:t>
      </w:r>
      <w:r w:rsidRPr="002C494B">
        <w:t> </w:t>
      </w:r>
      <w:r w:rsidRPr="002C494B">
        <w:rPr>
          <w:b/>
          <w:bCs/>
        </w:rPr>
        <w:t>三甲</w:t>
      </w:r>
      <w:r w:rsidRPr="002C494B">
        <w:t>の標準容器（PIパケット）をシェアし、</w:t>
      </w:r>
      <w:r w:rsidRPr="002C494B">
        <w:rPr>
          <w:b/>
          <w:bCs/>
        </w:rPr>
        <w:t>ダイフク</w:t>
      </w:r>
      <w:r w:rsidRPr="002C494B">
        <w:t>等の自動化設備を「利用料モデル（</w:t>
      </w:r>
      <w:proofErr w:type="spellStart"/>
      <w:r w:rsidRPr="002C494B">
        <w:t>AaaS</w:t>
      </w:r>
      <w:proofErr w:type="spellEnd"/>
      <w:r w:rsidRPr="002C494B">
        <w:t>）」で提供。荷主の投資リスクを低減し、自動化の恩恵を全社に波及させます。</w:t>
      </w:r>
    </w:p>
    <w:p w14:paraId="506A0B9A" w14:textId="3590C96B" w:rsidR="002C494B" w:rsidRPr="003D3B4F" w:rsidRDefault="002C494B" w:rsidP="003D3B4F">
      <w:pPr>
        <w:ind w:leftChars="200" w:left="420"/>
        <w:jc w:val="left"/>
      </w:pPr>
      <w:r w:rsidRPr="002C494B">
        <w:t>5</w:t>
      </w:r>
      <w:r w:rsidRPr="003D3B4F">
        <w:rPr>
          <w:rFonts w:hint="eastAsia"/>
        </w:rPr>
        <w:t>）</w:t>
      </w:r>
      <w:r w:rsidRPr="002C494B">
        <w:rPr>
          <w:b/>
          <w:bCs/>
        </w:rPr>
        <w:t>金融・リスク層：実動データの信用・安全化</w:t>
      </w:r>
      <w:r w:rsidRPr="002C494B">
        <w:t> 標準EDIを通じた**ASN（事前出荷通知）**と、**野村證券・日本政策投資銀行（DBJ）**の金融スキームを連結。物流データを信用に変えるサプライチェーンファイナンス（納品即決済）を実現し、業界全体のキャッシュフローを改善します。</w:t>
      </w:r>
    </w:p>
    <w:p w14:paraId="4815B089" w14:textId="77777777" w:rsidR="002C494B" w:rsidRDefault="002C494B">
      <w:pPr>
        <w:widowControl/>
        <w:jc w:val="left"/>
      </w:pPr>
      <w:r>
        <w:br w:type="page"/>
      </w:r>
    </w:p>
    <w:p w14:paraId="0F4BF721" w14:textId="77777777" w:rsidR="002C494B" w:rsidRPr="002C494B" w:rsidRDefault="002C494B" w:rsidP="002C494B">
      <w:pPr>
        <w:rPr>
          <w:b/>
          <w:bCs/>
        </w:rPr>
      </w:pPr>
      <w:r w:rsidRPr="002C494B">
        <w:rPr>
          <w:b/>
          <w:bCs/>
          <w:sz w:val="22"/>
          <w:szCs w:val="24"/>
        </w:rPr>
        <w:lastRenderedPageBreak/>
        <w:t>6. 結論：2030年フィジカルインターネット実現への道筋</w:t>
      </w:r>
    </w:p>
    <w:p w14:paraId="5445FA80" w14:textId="77777777" w:rsidR="002C494B" w:rsidRDefault="002C494B" w:rsidP="002C494B"/>
    <w:p w14:paraId="70545AD7" w14:textId="032241E1" w:rsidR="002C494B" w:rsidRPr="002C494B" w:rsidRDefault="002C494B" w:rsidP="002C494B">
      <w:pPr>
        <w:ind w:firstLineChars="100" w:firstLine="210"/>
      </w:pPr>
      <w:r w:rsidRPr="002C494B">
        <w:t>持続可能な物流の構築には、荷主・運送業者・卸の「三位一体」の協力が不可欠です。その好例が、**「令和7年度グリーン物流パートナーシップ会議 国土交通大臣表彰」**を受賞した、</w:t>
      </w:r>
      <w:r w:rsidRPr="002C494B">
        <w:rPr>
          <w:b/>
          <w:bCs/>
        </w:rPr>
        <w:t>サガワ・サツドラ・PALTAC</w:t>
      </w:r>
      <w:r w:rsidRPr="002C494B">
        <w:t>の3社による北海道での取り組みです。</w:t>
      </w:r>
    </w:p>
    <w:p w14:paraId="330EC8EE" w14:textId="77777777" w:rsidR="003D3B4F" w:rsidRDefault="003D3B4F" w:rsidP="003D3B4F">
      <w:pPr>
        <w:ind w:firstLineChars="100" w:firstLine="210"/>
      </w:pPr>
    </w:p>
    <w:p w14:paraId="6F2DF099" w14:textId="26DE23C3" w:rsidR="002C494B" w:rsidRPr="002C494B" w:rsidRDefault="002C494B" w:rsidP="003D3B4F">
      <w:pPr>
        <w:ind w:firstLineChars="100" w:firstLine="210"/>
      </w:pPr>
      <w:r w:rsidRPr="002C494B">
        <w:t>中継デポ（佐川拠点の活用）やスイッチ運行、サツドラによる納品条件の緩和を組み合わせた結果、</w:t>
      </w:r>
      <w:r w:rsidRPr="002C494B">
        <w:rPr>
          <w:b/>
          <w:bCs/>
        </w:rPr>
        <w:t>ドライバーの拘束時間を20%以上削減</w:t>
      </w:r>
      <w:r w:rsidRPr="002C494B">
        <w:t>し、走行距離を年間15万km以上短縮することに成功しました。この「グッドプラクティス」を、東北をはじめとする他の輸送困難地域へ迅速に展開しなければなりません。</w:t>
      </w:r>
    </w:p>
    <w:p w14:paraId="67683995" w14:textId="77777777" w:rsidR="003D3B4F" w:rsidRDefault="003D3B4F" w:rsidP="002C494B">
      <w:pPr>
        <w:ind w:firstLineChars="100" w:firstLine="210"/>
      </w:pPr>
    </w:p>
    <w:p w14:paraId="50741F95" w14:textId="593F2B2D" w:rsidR="002C494B" w:rsidRDefault="002C494B" w:rsidP="002C494B">
      <w:pPr>
        <w:ind w:firstLineChars="100" w:firstLine="210"/>
      </w:pPr>
      <w:r w:rsidRPr="002C494B">
        <w:t>物流を変えることは、「日本の産業OS」を書き換えることに他なりません。それは、非効率に甘んじた「失われた30年」に終止符を打ち、強靭なインフラを武器とする「得られた30年」へと転換するための核心的プロジェクトです。</w:t>
      </w:r>
    </w:p>
    <w:p w14:paraId="5D038E10" w14:textId="77777777" w:rsidR="003D3B4F" w:rsidRPr="002C494B" w:rsidRDefault="003D3B4F" w:rsidP="002C494B">
      <w:pPr>
        <w:ind w:firstLineChars="100" w:firstLine="210"/>
        <w:rPr>
          <w:rFonts w:hint="eastAsia"/>
        </w:rPr>
      </w:pPr>
    </w:p>
    <w:p w14:paraId="11EC76AA" w14:textId="77777777" w:rsidR="002C494B" w:rsidRPr="002C494B" w:rsidRDefault="002C494B" w:rsidP="003D3B4F">
      <w:pPr>
        <w:ind w:firstLineChars="100" w:firstLine="210"/>
      </w:pPr>
      <w:r w:rsidRPr="002C494B">
        <w:t>本フレームワークに基づき、競合の枠を超えた「本音の協調」を開始しましょう。2030年のフィジカルインターネット実現に向け、まずは東北・北海道等の優先地域における具体的なPoC（実証実験）への参画を強く呼びかけます。日本の物流を、持続可能な世界最強の社会インフラへと共に進化させていきましょう。</w:t>
      </w:r>
    </w:p>
    <w:p w14:paraId="3804D89C" w14:textId="77777777" w:rsidR="00843A84" w:rsidRPr="002C494B" w:rsidRDefault="00843A84"/>
    <w:sectPr w:rsidR="00843A84" w:rsidRPr="002C494B" w:rsidSect="002C494B">
      <w:pgSz w:w="16838" w:h="11906" w:orient="landscape"/>
      <w:pgMar w:top="1701"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34E8D"/>
    <w:multiLevelType w:val="hybridMultilevel"/>
    <w:tmpl w:val="E0A0D756"/>
    <w:lvl w:ilvl="0" w:tplc="28BC40EA">
      <w:start w:val="1"/>
      <w:numFmt w:val="decimal"/>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70D87153"/>
    <w:multiLevelType w:val="hybridMultilevel"/>
    <w:tmpl w:val="28A6AD52"/>
    <w:lvl w:ilvl="0" w:tplc="9D5E9F98">
      <w:start w:val="2"/>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9865934">
    <w:abstractNumId w:val="1"/>
  </w:num>
  <w:num w:numId="2" w16cid:durableId="3147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4B"/>
    <w:rsid w:val="00033E31"/>
    <w:rsid w:val="000344D3"/>
    <w:rsid w:val="000372BA"/>
    <w:rsid w:val="000455F5"/>
    <w:rsid w:val="00047091"/>
    <w:rsid w:val="000472FC"/>
    <w:rsid w:val="00053ED8"/>
    <w:rsid w:val="0006019A"/>
    <w:rsid w:val="00072EE6"/>
    <w:rsid w:val="000844C6"/>
    <w:rsid w:val="00092E3B"/>
    <w:rsid w:val="000A0337"/>
    <w:rsid w:val="000A3E35"/>
    <w:rsid w:val="000C61B5"/>
    <w:rsid w:val="000D1D60"/>
    <w:rsid w:val="000D7C28"/>
    <w:rsid w:val="000F0E7B"/>
    <w:rsid w:val="000F63B4"/>
    <w:rsid w:val="000F7725"/>
    <w:rsid w:val="00102C1C"/>
    <w:rsid w:val="00104C8F"/>
    <w:rsid w:val="00106EED"/>
    <w:rsid w:val="001202DD"/>
    <w:rsid w:val="0013083A"/>
    <w:rsid w:val="0014754A"/>
    <w:rsid w:val="0015289E"/>
    <w:rsid w:val="001564E1"/>
    <w:rsid w:val="00164A70"/>
    <w:rsid w:val="001701DD"/>
    <w:rsid w:val="001737AD"/>
    <w:rsid w:val="00176C4B"/>
    <w:rsid w:val="001A35FA"/>
    <w:rsid w:val="001E10FC"/>
    <w:rsid w:val="001E3E60"/>
    <w:rsid w:val="001E3F50"/>
    <w:rsid w:val="001F11A0"/>
    <w:rsid w:val="001F2178"/>
    <w:rsid w:val="001F76C5"/>
    <w:rsid w:val="0020247D"/>
    <w:rsid w:val="00207813"/>
    <w:rsid w:val="00211C15"/>
    <w:rsid w:val="00223765"/>
    <w:rsid w:val="00233DC0"/>
    <w:rsid w:val="00236A18"/>
    <w:rsid w:val="0024192B"/>
    <w:rsid w:val="00242E83"/>
    <w:rsid w:val="00245FD1"/>
    <w:rsid w:val="00247880"/>
    <w:rsid w:val="002532FE"/>
    <w:rsid w:val="00255CDA"/>
    <w:rsid w:val="00262C3A"/>
    <w:rsid w:val="00262D69"/>
    <w:rsid w:val="00271056"/>
    <w:rsid w:val="00272DC9"/>
    <w:rsid w:val="00281AA7"/>
    <w:rsid w:val="00285F71"/>
    <w:rsid w:val="00292A93"/>
    <w:rsid w:val="00296DAA"/>
    <w:rsid w:val="002A468A"/>
    <w:rsid w:val="002A7026"/>
    <w:rsid w:val="002C494B"/>
    <w:rsid w:val="002C6AAB"/>
    <w:rsid w:val="002D18D5"/>
    <w:rsid w:val="002D7A1C"/>
    <w:rsid w:val="002E1728"/>
    <w:rsid w:val="002E3470"/>
    <w:rsid w:val="00300641"/>
    <w:rsid w:val="0030663E"/>
    <w:rsid w:val="00321339"/>
    <w:rsid w:val="00345A44"/>
    <w:rsid w:val="00347175"/>
    <w:rsid w:val="00352665"/>
    <w:rsid w:val="00360D21"/>
    <w:rsid w:val="003704D8"/>
    <w:rsid w:val="00373A2C"/>
    <w:rsid w:val="00380175"/>
    <w:rsid w:val="0038235B"/>
    <w:rsid w:val="00392E4E"/>
    <w:rsid w:val="0039594F"/>
    <w:rsid w:val="003A133A"/>
    <w:rsid w:val="003A5DFA"/>
    <w:rsid w:val="003B5886"/>
    <w:rsid w:val="003D276A"/>
    <w:rsid w:val="003D30E5"/>
    <w:rsid w:val="003D3B4F"/>
    <w:rsid w:val="003D48FE"/>
    <w:rsid w:val="003E45B5"/>
    <w:rsid w:val="003E53AA"/>
    <w:rsid w:val="003E7619"/>
    <w:rsid w:val="003F712D"/>
    <w:rsid w:val="004112E7"/>
    <w:rsid w:val="004129FC"/>
    <w:rsid w:val="00416156"/>
    <w:rsid w:val="00416957"/>
    <w:rsid w:val="00430986"/>
    <w:rsid w:val="00453AC4"/>
    <w:rsid w:val="00484FEE"/>
    <w:rsid w:val="00486D8F"/>
    <w:rsid w:val="004923EE"/>
    <w:rsid w:val="00497A33"/>
    <w:rsid w:val="004A47E3"/>
    <w:rsid w:val="004B2FBE"/>
    <w:rsid w:val="004C5667"/>
    <w:rsid w:val="004C6C00"/>
    <w:rsid w:val="004D18B4"/>
    <w:rsid w:val="004D5369"/>
    <w:rsid w:val="004D5A9F"/>
    <w:rsid w:val="004E306B"/>
    <w:rsid w:val="004E6A84"/>
    <w:rsid w:val="004E7F84"/>
    <w:rsid w:val="004F192C"/>
    <w:rsid w:val="004F2E9B"/>
    <w:rsid w:val="004F30C3"/>
    <w:rsid w:val="004F46E1"/>
    <w:rsid w:val="00502027"/>
    <w:rsid w:val="0050206D"/>
    <w:rsid w:val="00515431"/>
    <w:rsid w:val="00520574"/>
    <w:rsid w:val="00521015"/>
    <w:rsid w:val="005217A1"/>
    <w:rsid w:val="00526F03"/>
    <w:rsid w:val="00542B7E"/>
    <w:rsid w:val="0054705A"/>
    <w:rsid w:val="00561E06"/>
    <w:rsid w:val="00572A8F"/>
    <w:rsid w:val="00585DAE"/>
    <w:rsid w:val="00587E96"/>
    <w:rsid w:val="00597535"/>
    <w:rsid w:val="005A736A"/>
    <w:rsid w:val="005A74F8"/>
    <w:rsid w:val="005B09E8"/>
    <w:rsid w:val="005B37E0"/>
    <w:rsid w:val="005D59A3"/>
    <w:rsid w:val="005D614F"/>
    <w:rsid w:val="005E04A8"/>
    <w:rsid w:val="005E77EA"/>
    <w:rsid w:val="005F018D"/>
    <w:rsid w:val="005F70ED"/>
    <w:rsid w:val="0060113F"/>
    <w:rsid w:val="00636887"/>
    <w:rsid w:val="006507B5"/>
    <w:rsid w:val="00652D62"/>
    <w:rsid w:val="00657ECE"/>
    <w:rsid w:val="00671B68"/>
    <w:rsid w:val="0067300F"/>
    <w:rsid w:val="0067376F"/>
    <w:rsid w:val="00692814"/>
    <w:rsid w:val="00692C65"/>
    <w:rsid w:val="00693F5A"/>
    <w:rsid w:val="006A4D5E"/>
    <w:rsid w:val="006B56A9"/>
    <w:rsid w:val="006B7BC8"/>
    <w:rsid w:val="006D391A"/>
    <w:rsid w:val="006D5A8A"/>
    <w:rsid w:val="006E315C"/>
    <w:rsid w:val="006E5CC1"/>
    <w:rsid w:val="006E6BDC"/>
    <w:rsid w:val="00705BD5"/>
    <w:rsid w:val="0072121E"/>
    <w:rsid w:val="007374CD"/>
    <w:rsid w:val="00753AE8"/>
    <w:rsid w:val="00755D98"/>
    <w:rsid w:val="00763593"/>
    <w:rsid w:val="00764AAE"/>
    <w:rsid w:val="007718D6"/>
    <w:rsid w:val="00775679"/>
    <w:rsid w:val="00775693"/>
    <w:rsid w:val="00780170"/>
    <w:rsid w:val="00780701"/>
    <w:rsid w:val="00782C04"/>
    <w:rsid w:val="00786725"/>
    <w:rsid w:val="007A260F"/>
    <w:rsid w:val="007A359B"/>
    <w:rsid w:val="007C2080"/>
    <w:rsid w:val="007D6447"/>
    <w:rsid w:val="007E13AA"/>
    <w:rsid w:val="007F720E"/>
    <w:rsid w:val="00804968"/>
    <w:rsid w:val="00805F80"/>
    <w:rsid w:val="00822007"/>
    <w:rsid w:val="00822F06"/>
    <w:rsid w:val="008240D9"/>
    <w:rsid w:val="00826BFE"/>
    <w:rsid w:val="00827B8D"/>
    <w:rsid w:val="008328DF"/>
    <w:rsid w:val="00834DD2"/>
    <w:rsid w:val="00843A84"/>
    <w:rsid w:val="008625BB"/>
    <w:rsid w:val="00864E32"/>
    <w:rsid w:val="00866CD2"/>
    <w:rsid w:val="00871F51"/>
    <w:rsid w:val="00874B60"/>
    <w:rsid w:val="008773CB"/>
    <w:rsid w:val="0088399A"/>
    <w:rsid w:val="008A10DF"/>
    <w:rsid w:val="008A2582"/>
    <w:rsid w:val="008B6BCB"/>
    <w:rsid w:val="008C0A3B"/>
    <w:rsid w:val="008C56FE"/>
    <w:rsid w:val="008C72B7"/>
    <w:rsid w:val="008D4108"/>
    <w:rsid w:val="008E7D2F"/>
    <w:rsid w:val="008F6498"/>
    <w:rsid w:val="00901DC9"/>
    <w:rsid w:val="00901E87"/>
    <w:rsid w:val="00916615"/>
    <w:rsid w:val="009174BF"/>
    <w:rsid w:val="00917A73"/>
    <w:rsid w:val="00921082"/>
    <w:rsid w:val="00942940"/>
    <w:rsid w:val="0094557E"/>
    <w:rsid w:val="00954C36"/>
    <w:rsid w:val="009577ED"/>
    <w:rsid w:val="0096588C"/>
    <w:rsid w:val="009668C0"/>
    <w:rsid w:val="00971461"/>
    <w:rsid w:val="00976F18"/>
    <w:rsid w:val="00977795"/>
    <w:rsid w:val="009A3A85"/>
    <w:rsid w:val="009B1F0D"/>
    <w:rsid w:val="009B557A"/>
    <w:rsid w:val="009D09F0"/>
    <w:rsid w:val="009D7678"/>
    <w:rsid w:val="009F2315"/>
    <w:rsid w:val="009F4DE5"/>
    <w:rsid w:val="009F58F0"/>
    <w:rsid w:val="00A01D2F"/>
    <w:rsid w:val="00A07C91"/>
    <w:rsid w:val="00A10BBD"/>
    <w:rsid w:val="00A12051"/>
    <w:rsid w:val="00A33BDA"/>
    <w:rsid w:val="00A53D4B"/>
    <w:rsid w:val="00A63484"/>
    <w:rsid w:val="00A6758A"/>
    <w:rsid w:val="00A77208"/>
    <w:rsid w:val="00AB4A7B"/>
    <w:rsid w:val="00AC3797"/>
    <w:rsid w:val="00AC3A71"/>
    <w:rsid w:val="00AE3FB2"/>
    <w:rsid w:val="00AF1780"/>
    <w:rsid w:val="00AF30B3"/>
    <w:rsid w:val="00B04C60"/>
    <w:rsid w:val="00B22A47"/>
    <w:rsid w:val="00B45A82"/>
    <w:rsid w:val="00B47995"/>
    <w:rsid w:val="00B63B71"/>
    <w:rsid w:val="00B67183"/>
    <w:rsid w:val="00B709D3"/>
    <w:rsid w:val="00B70ED9"/>
    <w:rsid w:val="00B73CC1"/>
    <w:rsid w:val="00B82881"/>
    <w:rsid w:val="00B95087"/>
    <w:rsid w:val="00BA22DB"/>
    <w:rsid w:val="00BB7CDA"/>
    <w:rsid w:val="00BE5401"/>
    <w:rsid w:val="00BF799A"/>
    <w:rsid w:val="00C04584"/>
    <w:rsid w:val="00C05DE2"/>
    <w:rsid w:val="00C413F2"/>
    <w:rsid w:val="00C447A6"/>
    <w:rsid w:val="00C50586"/>
    <w:rsid w:val="00C50DD8"/>
    <w:rsid w:val="00C63291"/>
    <w:rsid w:val="00C716FF"/>
    <w:rsid w:val="00C74695"/>
    <w:rsid w:val="00C77575"/>
    <w:rsid w:val="00C809DD"/>
    <w:rsid w:val="00C93950"/>
    <w:rsid w:val="00CA0354"/>
    <w:rsid w:val="00CB0BAA"/>
    <w:rsid w:val="00CC11EA"/>
    <w:rsid w:val="00CC6FA8"/>
    <w:rsid w:val="00CD0279"/>
    <w:rsid w:val="00CF3DCF"/>
    <w:rsid w:val="00D03438"/>
    <w:rsid w:val="00D03ED9"/>
    <w:rsid w:val="00D06394"/>
    <w:rsid w:val="00D144EB"/>
    <w:rsid w:val="00D17750"/>
    <w:rsid w:val="00D427B1"/>
    <w:rsid w:val="00D43D94"/>
    <w:rsid w:val="00D6144F"/>
    <w:rsid w:val="00D81258"/>
    <w:rsid w:val="00D841CB"/>
    <w:rsid w:val="00D87712"/>
    <w:rsid w:val="00D9036E"/>
    <w:rsid w:val="00D94099"/>
    <w:rsid w:val="00DD45B6"/>
    <w:rsid w:val="00DF17A9"/>
    <w:rsid w:val="00DF3144"/>
    <w:rsid w:val="00DF35F4"/>
    <w:rsid w:val="00DF4EE9"/>
    <w:rsid w:val="00DF51F2"/>
    <w:rsid w:val="00E03B4B"/>
    <w:rsid w:val="00E0408C"/>
    <w:rsid w:val="00E0681E"/>
    <w:rsid w:val="00E1631B"/>
    <w:rsid w:val="00E23560"/>
    <w:rsid w:val="00E24280"/>
    <w:rsid w:val="00E24F5B"/>
    <w:rsid w:val="00E362D1"/>
    <w:rsid w:val="00E422D3"/>
    <w:rsid w:val="00E5271A"/>
    <w:rsid w:val="00E53D73"/>
    <w:rsid w:val="00E60485"/>
    <w:rsid w:val="00E644F9"/>
    <w:rsid w:val="00E66FEA"/>
    <w:rsid w:val="00E74F9F"/>
    <w:rsid w:val="00E80B8A"/>
    <w:rsid w:val="00E8550D"/>
    <w:rsid w:val="00E93D06"/>
    <w:rsid w:val="00E96596"/>
    <w:rsid w:val="00E974DC"/>
    <w:rsid w:val="00EB026E"/>
    <w:rsid w:val="00EB41B3"/>
    <w:rsid w:val="00EC6952"/>
    <w:rsid w:val="00ED09BD"/>
    <w:rsid w:val="00ED2608"/>
    <w:rsid w:val="00EE1362"/>
    <w:rsid w:val="00EE6866"/>
    <w:rsid w:val="00EE6938"/>
    <w:rsid w:val="00EF3608"/>
    <w:rsid w:val="00EF43D0"/>
    <w:rsid w:val="00F00A8A"/>
    <w:rsid w:val="00F00CE4"/>
    <w:rsid w:val="00F034C6"/>
    <w:rsid w:val="00F03C2A"/>
    <w:rsid w:val="00F204EB"/>
    <w:rsid w:val="00F24888"/>
    <w:rsid w:val="00F44F9C"/>
    <w:rsid w:val="00F458EE"/>
    <w:rsid w:val="00F45E9A"/>
    <w:rsid w:val="00F466BF"/>
    <w:rsid w:val="00F51540"/>
    <w:rsid w:val="00F52304"/>
    <w:rsid w:val="00F5371B"/>
    <w:rsid w:val="00F607F5"/>
    <w:rsid w:val="00F82FE7"/>
    <w:rsid w:val="00F8549B"/>
    <w:rsid w:val="00F90DB9"/>
    <w:rsid w:val="00F950D2"/>
    <w:rsid w:val="00F95FCE"/>
    <w:rsid w:val="00F96C88"/>
    <w:rsid w:val="00FD4AE7"/>
    <w:rsid w:val="00FD5628"/>
    <w:rsid w:val="00FD6E09"/>
    <w:rsid w:val="00FE26E5"/>
    <w:rsid w:val="00FE3143"/>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61ACCE"/>
  <w15:chartTrackingRefBased/>
  <w15:docId w15:val="{E1FE6378-AB9A-42E7-A2AA-447A3EF4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49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49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49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49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49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49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49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49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49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49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49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49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49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49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49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49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49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49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49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4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9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4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94B"/>
    <w:pPr>
      <w:spacing w:before="160" w:after="160"/>
      <w:jc w:val="center"/>
    </w:pPr>
    <w:rPr>
      <w:i/>
      <w:iCs/>
      <w:color w:val="404040" w:themeColor="text1" w:themeTint="BF"/>
    </w:rPr>
  </w:style>
  <w:style w:type="character" w:customStyle="1" w:styleId="a8">
    <w:name w:val="引用文 (文字)"/>
    <w:basedOn w:val="a0"/>
    <w:link w:val="a7"/>
    <w:uiPriority w:val="29"/>
    <w:rsid w:val="002C494B"/>
    <w:rPr>
      <w:i/>
      <w:iCs/>
      <w:color w:val="404040" w:themeColor="text1" w:themeTint="BF"/>
    </w:rPr>
  </w:style>
  <w:style w:type="paragraph" w:styleId="a9">
    <w:name w:val="List Paragraph"/>
    <w:basedOn w:val="a"/>
    <w:uiPriority w:val="34"/>
    <w:qFormat/>
    <w:rsid w:val="002C494B"/>
    <w:pPr>
      <w:ind w:left="720"/>
      <w:contextualSpacing/>
    </w:pPr>
  </w:style>
  <w:style w:type="character" w:styleId="21">
    <w:name w:val="Intense Emphasis"/>
    <w:basedOn w:val="a0"/>
    <w:uiPriority w:val="21"/>
    <w:qFormat/>
    <w:rsid w:val="002C494B"/>
    <w:rPr>
      <w:i/>
      <w:iCs/>
      <w:color w:val="2F5496" w:themeColor="accent1" w:themeShade="BF"/>
    </w:rPr>
  </w:style>
  <w:style w:type="paragraph" w:styleId="22">
    <w:name w:val="Intense Quote"/>
    <w:basedOn w:val="a"/>
    <w:next w:val="a"/>
    <w:link w:val="23"/>
    <w:uiPriority w:val="30"/>
    <w:qFormat/>
    <w:rsid w:val="002C4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C494B"/>
    <w:rPr>
      <w:i/>
      <w:iCs/>
      <w:color w:val="2F5496" w:themeColor="accent1" w:themeShade="BF"/>
    </w:rPr>
  </w:style>
  <w:style w:type="character" w:styleId="24">
    <w:name w:val="Intense Reference"/>
    <w:basedOn w:val="a0"/>
    <w:uiPriority w:val="32"/>
    <w:qFormat/>
    <w:rsid w:val="002C49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Fujino</dc:creator>
  <cp:keywords/>
  <dc:description/>
  <cp:lastModifiedBy>N. Fujino</cp:lastModifiedBy>
  <cp:revision>2</cp:revision>
  <dcterms:created xsi:type="dcterms:W3CDTF">2026-02-17T00:45:00Z</dcterms:created>
  <dcterms:modified xsi:type="dcterms:W3CDTF">2026-02-17T00:45:00Z</dcterms:modified>
</cp:coreProperties>
</file>