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A3A53" w14:textId="55F0D98D" w:rsidR="00F009EC" w:rsidRPr="00F009EC" w:rsidRDefault="00F009EC" w:rsidP="00F009EC">
      <w:pPr>
        <w:jc w:val="center"/>
        <w:rPr>
          <w:b/>
          <w:bCs/>
          <w:sz w:val="40"/>
          <w:szCs w:val="44"/>
        </w:rPr>
      </w:pPr>
      <w:r w:rsidRPr="00F009EC">
        <w:rPr>
          <w:b/>
          <w:bCs/>
          <w:sz w:val="40"/>
          <w:szCs w:val="44"/>
        </w:rPr>
        <w:t>垂直統合から</w:t>
      </w:r>
      <w:r>
        <w:rPr>
          <w:rFonts w:hint="eastAsia"/>
          <w:b/>
          <w:bCs/>
          <w:sz w:val="40"/>
          <w:szCs w:val="44"/>
        </w:rPr>
        <w:t>エコシステム</w:t>
      </w:r>
      <w:r w:rsidRPr="00F009EC">
        <w:rPr>
          <w:b/>
          <w:bCs/>
          <w:sz w:val="40"/>
          <w:szCs w:val="44"/>
        </w:rPr>
        <w:t>へ</w:t>
      </w:r>
    </w:p>
    <w:p w14:paraId="5859E5D2" w14:textId="7B8070EF" w:rsidR="00F009EC" w:rsidRDefault="00F009EC" w:rsidP="00F009EC">
      <w:pPr>
        <w:jc w:val="center"/>
        <w:rPr>
          <w:b/>
          <w:bCs/>
          <w:sz w:val="24"/>
          <w:szCs w:val="28"/>
        </w:rPr>
      </w:pPr>
      <w:r w:rsidRPr="00F009EC">
        <w:rPr>
          <w:rFonts w:hint="eastAsia"/>
          <w:b/>
          <w:bCs/>
          <w:sz w:val="24"/>
          <w:szCs w:val="28"/>
        </w:rPr>
        <w:t>～</w:t>
      </w:r>
      <w:r w:rsidRPr="00F009EC">
        <w:rPr>
          <w:b/>
          <w:bCs/>
          <w:sz w:val="24"/>
          <w:szCs w:val="28"/>
        </w:rPr>
        <w:t>フィジカルインターネット社会実装に向けた戦略的ロードマップ</w:t>
      </w:r>
      <w:r w:rsidRPr="00F009EC">
        <w:rPr>
          <w:rFonts w:hint="eastAsia"/>
          <w:b/>
          <w:bCs/>
          <w:sz w:val="24"/>
          <w:szCs w:val="28"/>
        </w:rPr>
        <w:t>～</w:t>
      </w:r>
    </w:p>
    <w:p w14:paraId="7CD9C755" w14:textId="77777777" w:rsidR="00F009EC" w:rsidRPr="00F009EC" w:rsidRDefault="00F009EC" w:rsidP="00F009EC">
      <w:pPr>
        <w:jc w:val="center"/>
        <w:rPr>
          <w:rFonts w:hint="eastAsia"/>
          <w:b/>
          <w:bCs/>
          <w:sz w:val="24"/>
          <w:szCs w:val="28"/>
        </w:rPr>
      </w:pPr>
    </w:p>
    <w:p w14:paraId="0BD28D19" w14:textId="41053CA4" w:rsidR="00F009EC" w:rsidRPr="00F009EC" w:rsidRDefault="00F009EC" w:rsidP="00F009EC">
      <w:pPr>
        <w:numPr>
          <w:ilvl w:val="0"/>
          <w:numId w:val="1"/>
        </w:numPr>
        <w:rPr>
          <w:b/>
          <w:bCs/>
          <w:sz w:val="22"/>
          <w:szCs w:val="24"/>
        </w:rPr>
      </w:pPr>
      <w:r w:rsidRPr="00F009EC">
        <w:rPr>
          <w:b/>
          <w:bCs/>
          <w:sz w:val="22"/>
          <w:szCs w:val="24"/>
        </w:rPr>
        <w:t>戦略的背景：2030年、日本経済「血流停止」の危機と構造転換の必然性</w:t>
      </w:r>
    </w:p>
    <w:p w14:paraId="277BA976" w14:textId="77777777" w:rsidR="00F009EC" w:rsidRDefault="00F009EC" w:rsidP="00F009EC">
      <w:pPr>
        <w:ind w:firstLineChars="100" w:firstLine="210"/>
      </w:pPr>
      <w:r w:rsidRPr="00F009EC">
        <w:t>日本の物流は今、生存を賭けた分岐点に立っています。目前の「2024年問題」は序章に過ぎません。2030年には全荷物の34%が運べなくなるという絶望的な供給力不足が予測されています。これは日本経済という生体における「血流停止」を意味します。</w:t>
      </w:r>
    </w:p>
    <w:p w14:paraId="09E7A76A" w14:textId="77777777" w:rsidR="00F009EC" w:rsidRPr="00F009EC" w:rsidRDefault="00F009EC" w:rsidP="00F009EC">
      <w:pPr>
        <w:ind w:firstLineChars="100" w:firstLine="210"/>
        <w:rPr>
          <w:rFonts w:hint="eastAsia"/>
        </w:rPr>
      </w:pPr>
    </w:p>
    <w:p w14:paraId="4E20E23E" w14:textId="337FE168" w:rsidR="00F009EC" w:rsidRPr="00F009EC" w:rsidRDefault="00F009EC" w:rsidP="00F009EC">
      <w:pPr>
        <w:ind w:firstLineChars="100" w:firstLine="210"/>
      </w:pPr>
      <w:r w:rsidRPr="00F009EC">
        <w:t>従来の物流は、自社専用の資産を抱え込む「自前主義（垂直統合）」に固執してきました。しかし、積載率約40%という低迷と資産の遊休化は、この構造がもはや限界であることを証明しています。各社がバラバラなネットワークで低積載のトラックを走らせる現状は、物流業界全体が陥った「囚人のジレンマ」そのものです。個社最適の追求が社会全体の首を絞めるこの構造を打破し、物流を社会インフラとしての「共有財（</w:t>
      </w:r>
      <w:r>
        <w:t>エコシステムへ</w:t>
      </w:r>
      <w:r w:rsidRPr="00F009EC">
        <w:t>）」へと再定義する「フィジカルインターネット（PI）」の実装こそが、次世代へ産業を引き継ぐための唯一の解です。</w:t>
      </w:r>
    </w:p>
    <w:p w14:paraId="1C01D124" w14:textId="77777777" w:rsidR="00F009EC" w:rsidRDefault="00F009EC" w:rsidP="00F009EC"/>
    <w:p w14:paraId="5E943E36" w14:textId="170E55E4" w:rsidR="00F009EC" w:rsidRPr="00F009EC" w:rsidRDefault="00F009EC" w:rsidP="00F009EC">
      <w:pPr>
        <w:ind w:firstLineChars="100" w:firstLine="210"/>
      </w:pPr>
      <w:r w:rsidRPr="00F009EC">
        <w:t>本稿では、商習慣のブラックボックスを解体し、経営的視点から物流を「コスト」から「投資対象」へと変革する5層のアーキテクチャと、その社会実装への道筋を提言します。</w:t>
      </w:r>
    </w:p>
    <w:p w14:paraId="782387B6" w14:textId="77777777" w:rsidR="00F009EC" w:rsidRDefault="00F009EC" w:rsidP="00F009EC">
      <w:r w:rsidRPr="00F009EC">
        <w:t>--------------------------------------------------------------------------------</w:t>
      </w:r>
    </w:p>
    <w:p w14:paraId="24A5051C" w14:textId="5AE1FC04" w:rsidR="00F009EC" w:rsidRDefault="00F009EC">
      <w:pPr>
        <w:widowControl/>
        <w:jc w:val="left"/>
      </w:pPr>
      <w:r>
        <w:br w:type="page"/>
      </w:r>
    </w:p>
    <w:p w14:paraId="061A591E" w14:textId="641E8571" w:rsidR="00F009EC" w:rsidRPr="00F009EC" w:rsidRDefault="00F009EC" w:rsidP="00F009EC">
      <w:pPr>
        <w:rPr>
          <w:b/>
          <w:bCs/>
        </w:rPr>
      </w:pPr>
      <w:r w:rsidRPr="00F009EC">
        <w:rPr>
          <w:b/>
          <w:bCs/>
        </w:rPr>
        <w:lastRenderedPageBreak/>
        <w:t xml:space="preserve">2. </w:t>
      </w:r>
      <w:r w:rsidRPr="00F009EC">
        <w:rPr>
          <w:b/>
          <w:bCs/>
        </w:rPr>
        <w:t>エコシステムへ</w:t>
      </w:r>
      <w:r w:rsidRPr="00F009EC">
        <w:rPr>
          <w:b/>
          <w:bCs/>
        </w:rPr>
        <w:t>を支える「5層の共有基盤（PIアーキテクチャ）」の定義</w:t>
      </w:r>
    </w:p>
    <w:p w14:paraId="3BD97B16" w14:textId="77777777" w:rsidR="00F009EC" w:rsidRDefault="00F009EC" w:rsidP="00F009EC">
      <w:pPr>
        <w:ind w:firstLineChars="100" w:firstLine="210"/>
      </w:pPr>
      <w:r w:rsidRPr="00F009EC">
        <w:t>戦略イノベーション協議会（SIC）が提唱するPIの実現には、以下の5つのレイヤーを統合し、個社の利害を超えた「オーケストレーター」が機能するエコシステムが不可欠です。</w:t>
      </w:r>
    </w:p>
    <w:p w14:paraId="5F3C9499" w14:textId="77777777" w:rsidR="00F009EC" w:rsidRPr="00F009EC" w:rsidRDefault="00F009EC" w:rsidP="00F009EC">
      <w:pPr>
        <w:ind w:firstLineChars="100" w:firstLine="210"/>
        <w:rPr>
          <w:rFonts w:hint="eastAsia"/>
        </w:rPr>
      </w:pPr>
    </w:p>
    <w:tbl>
      <w:tblPr>
        <w:tblW w:w="0" w:type="auto"/>
        <w:tblCellMar>
          <w:top w:w="15" w:type="dxa"/>
          <w:left w:w="15" w:type="dxa"/>
          <w:bottom w:w="15" w:type="dxa"/>
          <w:right w:w="15" w:type="dxa"/>
        </w:tblCellMar>
        <w:tblLook w:val="04A0" w:firstRow="1" w:lastRow="0" w:firstColumn="1" w:lastColumn="0" w:noHBand="0" w:noVBand="1"/>
      </w:tblPr>
      <w:tblGrid>
        <w:gridCol w:w="1964"/>
        <w:gridCol w:w="4434"/>
        <w:gridCol w:w="2433"/>
        <w:gridCol w:w="4321"/>
      </w:tblGrid>
      <w:tr w:rsidR="00F009EC" w:rsidRPr="00F009EC" w14:paraId="06E5EC3A" w14:textId="77777777">
        <w:tc>
          <w:tcPr>
            <w:tcW w:w="0" w:type="auto"/>
            <w:vAlign w:val="center"/>
            <w:hideMark/>
          </w:tcPr>
          <w:p w14:paraId="2153D4C2" w14:textId="77777777" w:rsidR="00F009EC" w:rsidRPr="00F009EC" w:rsidRDefault="00F009EC" w:rsidP="00F009EC">
            <w:pPr>
              <w:rPr>
                <w:b/>
                <w:bCs/>
              </w:rPr>
            </w:pPr>
            <w:r w:rsidRPr="00F009EC">
              <w:rPr>
                <w:b/>
                <w:bCs/>
              </w:rPr>
              <w:t>レイヤー</w:t>
            </w:r>
          </w:p>
        </w:tc>
        <w:tc>
          <w:tcPr>
            <w:tcW w:w="0" w:type="auto"/>
            <w:vAlign w:val="center"/>
            <w:hideMark/>
          </w:tcPr>
          <w:p w14:paraId="2815E12F" w14:textId="77777777" w:rsidR="00F009EC" w:rsidRPr="00F009EC" w:rsidRDefault="00F009EC" w:rsidP="00F009EC">
            <w:pPr>
              <w:rPr>
                <w:b/>
                <w:bCs/>
              </w:rPr>
            </w:pPr>
            <w:r w:rsidRPr="00F009EC">
              <w:rPr>
                <w:b/>
                <w:bCs/>
              </w:rPr>
              <w:t>役割・定義</w:t>
            </w:r>
          </w:p>
        </w:tc>
        <w:tc>
          <w:tcPr>
            <w:tcW w:w="0" w:type="auto"/>
            <w:vAlign w:val="center"/>
            <w:hideMark/>
          </w:tcPr>
          <w:p w14:paraId="6A6C7F38" w14:textId="77777777" w:rsidR="00F009EC" w:rsidRPr="00F009EC" w:rsidRDefault="00F009EC" w:rsidP="00F009EC">
            <w:pPr>
              <w:rPr>
                <w:b/>
                <w:bCs/>
              </w:rPr>
            </w:pPr>
            <w:r w:rsidRPr="00F009EC">
              <w:rPr>
                <w:b/>
                <w:bCs/>
              </w:rPr>
              <w:t>主要プレイヤー（仮説）</w:t>
            </w:r>
          </w:p>
        </w:tc>
        <w:tc>
          <w:tcPr>
            <w:tcW w:w="0" w:type="auto"/>
            <w:vAlign w:val="center"/>
            <w:hideMark/>
          </w:tcPr>
          <w:p w14:paraId="5F597B8E" w14:textId="77777777" w:rsidR="00F009EC" w:rsidRPr="00F009EC" w:rsidRDefault="00F009EC" w:rsidP="00F009EC">
            <w:pPr>
              <w:rPr>
                <w:b/>
                <w:bCs/>
              </w:rPr>
            </w:pPr>
            <w:r w:rsidRPr="00F009EC">
              <w:rPr>
                <w:b/>
                <w:bCs/>
              </w:rPr>
              <w:t>戦略的インパクト</w:t>
            </w:r>
          </w:p>
        </w:tc>
      </w:tr>
      <w:tr w:rsidR="00F009EC" w:rsidRPr="00F009EC" w14:paraId="4876EC34" w14:textId="77777777">
        <w:tc>
          <w:tcPr>
            <w:tcW w:w="0" w:type="auto"/>
            <w:vAlign w:val="center"/>
            <w:hideMark/>
          </w:tcPr>
          <w:p w14:paraId="3DA4274A" w14:textId="77777777" w:rsidR="00F009EC" w:rsidRPr="00F009EC" w:rsidRDefault="00F009EC" w:rsidP="00F009EC">
            <w:r w:rsidRPr="00F009EC">
              <w:rPr>
                <w:b/>
                <w:bCs/>
              </w:rPr>
              <w:t>1. データ層（情報OS）</w:t>
            </w:r>
          </w:p>
        </w:tc>
        <w:tc>
          <w:tcPr>
            <w:tcW w:w="0" w:type="auto"/>
            <w:vAlign w:val="center"/>
            <w:hideMark/>
          </w:tcPr>
          <w:p w14:paraId="5D8420E4" w14:textId="77777777" w:rsidR="00F009EC" w:rsidRPr="00F009EC" w:rsidRDefault="00F009EC" w:rsidP="00F009EC">
            <w:r w:rsidRPr="00F009EC">
              <w:t>リアルタイム動態・入出荷データの集約。標準EDIによる情報連携。</w:t>
            </w:r>
          </w:p>
        </w:tc>
        <w:tc>
          <w:tcPr>
            <w:tcW w:w="0" w:type="auto"/>
            <w:vAlign w:val="center"/>
            <w:hideMark/>
          </w:tcPr>
          <w:p w14:paraId="30EEB0F5" w14:textId="77777777" w:rsidR="00F009EC" w:rsidRPr="00F009EC" w:rsidRDefault="00F009EC" w:rsidP="00F009EC">
            <w:proofErr w:type="spellStart"/>
            <w:r w:rsidRPr="00F009EC">
              <w:t>Hacobu</w:t>
            </w:r>
            <w:proofErr w:type="spellEnd"/>
            <w:r w:rsidRPr="00F009EC">
              <w:t>、NTTコムウェア</w:t>
            </w:r>
          </w:p>
        </w:tc>
        <w:tc>
          <w:tcPr>
            <w:tcW w:w="0" w:type="auto"/>
            <w:vAlign w:val="center"/>
            <w:hideMark/>
          </w:tcPr>
          <w:p w14:paraId="50077095" w14:textId="77777777" w:rsidR="00F009EC" w:rsidRPr="00F009EC" w:rsidRDefault="00F009EC" w:rsidP="00F009EC">
            <w:r w:rsidRPr="00F009EC">
              <w:t>検品レス・即時決済の実現による資金効率の劇的向上。</w:t>
            </w:r>
          </w:p>
        </w:tc>
      </w:tr>
      <w:tr w:rsidR="00F009EC" w:rsidRPr="00F009EC" w14:paraId="50DF3BD2" w14:textId="77777777">
        <w:tc>
          <w:tcPr>
            <w:tcW w:w="0" w:type="auto"/>
            <w:vAlign w:val="center"/>
            <w:hideMark/>
          </w:tcPr>
          <w:p w14:paraId="15506C32" w14:textId="77777777" w:rsidR="00F009EC" w:rsidRPr="00F009EC" w:rsidRDefault="00F009EC" w:rsidP="00F009EC">
            <w:r w:rsidRPr="00F009EC">
              <w:rPr>
                <w:b/>
                <w:bCs/>
              </w:rPr>
              <w:t>2. 拠点層（OCDC）</w:t>
            </w:r>
          </w:p>
        </w:tc>
        <w:tc>
          <w:tcPr>
            <w:tcW w:w="0" w:type="auto"/>
            <w:vAlign w:val="center"/>
            <w:hideMark/>
          </w:tcPr>
          <w:p w14:paraId="495383D1" w14:textId="77777777" w:rsidR="00F009EC" w:rsidRPr="00F009EC" w:rsidRDefault="00F009EC" w:rsidP="00F009EC">
            <w:r w:rsidRPr="00F009EC">
              <w:t>特定企業専用から、誰でも使える「オープンクロスドックセンター」へ。</w:t>
            </w:r>
          </w:p>
        </w:tc>
        <w:tc>
          <w:tcPr>
            <w:tcW w:w="0" w:type="auto"/>
            <w:vAlign w:val="center"/>
            <w:hideMark/>
          </w:tcPr>
          <w:p w14:paraId="23F4D7F9" w14:textId="77777777" w:rsidR="00F009EC" w:rsidRPr="00F009EC" w:rsidRDefault="00F009EC" w:rsidP="00F009EC">
            <w:r w:rsidRPr="00F009EC">
              <w:t>ヤマト運輸、野村不動産</w:t>
            </w:r>
          </w:p>
        </w:tc>
        <w:tc>
          <w:tcPr>
            <w:tcW w:w="0" w:type="auto"/>
            <w:vAlign w:val="center"/>
            <w:hideMark/>
          </w:tcPr>
          <w:p w14:paraId="030E2648" w14:textId="77777777" w:rsidR="00F009EC" w:rsidRPr="00F009EC" w:rsidRDefault="00F009EC" w:rsidP="00F009EC">
            <w:r w:rsidRPr="00F009EC">
              <w:t>空間構造の最適化による輻輳物流の排除と拠点生産性の向上。</w:t>
            </w:r>
          </w:p>
        </w:tc>
      </w:tr>
      <w:tr w:rsidR="00F009EC" w:rsidRPr="00F009EC" w14:paraId="09F6FAFA" w14:textId="77777777">
        <w:tc>
          <w:tcPr>
            <w:tcW w:w="0" w:type="auto"/>
            <w:vAlign w:val="center"/>
            <w:hideMark/>
          </w:tcPr>
          <w:p w14:paraId="1F06D2D1" w14:textId="77777777" w:rsidR="00F009EC" w:rsidRPr="00F009EC" w:rsidRDefault="00F009EC" w:rsidP="00F009EC">
            <w:r w:rsidRPr="00F009EC">
              <w:rPr>
                <w:b/>
                <w:bCs/>
              </w:rPr>
              <w:t>3. 輸送層（移動アセット）</w:t>
            </w:r>
          </w:p>
        </w:tc>
        <w:tc>
          <w:tcPr>
            <w:tcW w:w="0" w:type="auto"/>
            <w:vAlign w:val="center"/>
            <w:hideMark/>
          </w:tcPr>
          <w:p w14:paraId="63D25924" w14:textId="77777777" w:rsidR="00F009EC" w:rsidRPr="00F009EC" w:rsidRDefault="00F009EC" w:rsidP="00F009EC">
            <w:r w:rsidRPr="00F009EC">
              <w:t>EKIDEN方式（中継輸送）や隊列走行による移動手段のコモンズ化。</w:t>
            </w:r>
          </w:p>
        </w:tc>
        <w:tc>
          <w:tcPr>
            <w:tcW w:w="0" w:type="auto"/>
            <w:vAlign w:val="center"/>
            <w:hideMark/>
          </w:tcPr>
          <w:p w14:paraId="17B2A348" w14:textId="77777777" w:rsidR="00F009EC" w:rsidRPr="00F009EC" w:rsidRDefault="00F009EC" w:rsidP="00F009EC">
            <w:r w:rsidRPr="00F009EC">
              <w:t>NLJ、日野、いすゞ、</w:t>
            </w:r>
            <w:r w:rsidRPr="00F009EC">
              <w:rPr>
                <w:b/>
                <w:bCs/>
              </w:rPr>
              <w:t>ロジスティード</w:t>
            </w:r>
          </w:p>
        </w:tc>
        <w:tc>
          <w:tcPr>
            <w:tcW w:w="0" w:type="auto"/>
            <w:vAlign w:val="center"/>
            <w:hideMark/>
          </w:tcPr>
          <w:p w14:paraId="3B2EB588" w14:textId="77777777" w:rsidR="00F009EC" w:rsidRPr="00F009EC" w:rsidRDefault="00F009EC" w:rsidP="00F009EC">
            <w:r w:rsidRPr="00F009EC">
              <w:rPr>
                <w:b/>
                <w:bCs/>
              </w:rPr>
              <w:t>オーケストレーター</w:t>
            </w:r>
            <w:r w:rsidRPr="00F009EC">
              <w:t>による全体最適化と、拘束時間の劇的削減。</w:t>
            </w:r>
          </w:p>
        </w:tc>
      </w:tr>
      <w:tr w:rsidR="00F009EC" w:rsidRPr="00F009EC" w14:paraId="1B494DEC" w14:textId="77777777">
        <w:tc>
          <w:tcPr>
            <w:tcW w:w="0" w:type="auto"/>
            <w:vAlign w:val="center"/>
            <w:hideMark/>
          </w:tcPr>
          <w:p w14:paraId="6306F0C1" w14:textId="77777777" w:rsidR="00F009EC" w:rsidRPr="00F009EC" w:rsidRDefault="00F009EC" w:rsidP="00F009EC">
            <w:r w:rsidRPr="00F009EC">
              <w:rPr>
                <w:b/>
                <w:bCs/>
              </w:rPr>
              <w:t>4. 標準層（PIパケット）</w:t>
            </w:r>
          </w:p>
        </w:tc>
        <w:tc>
          <w:tcPr>
            <w:tcW w:w="0" w:type="auto"/>
            <w:vAlign w:val="center"/>
            <w:hideMark/>
          </w:tcPr>
          <w:p w14:paraId="1C4F1533" w14:textId="77777777" w:rsidR="00F009EC" w:rsidRPr="00F009EC" w:rsidRDefault="00F009EC" w:rsidP="00F009EC">
            <w:r w:rsidRPr="00F009EC">
              <w:t>容器・パレットの標準化。RFIDによるトレーサビリティ確保。</w:t>
            </w:r>
          </w:p>
        </w:tc>
        <w:tc>
          <w:tcPr>
            <w:tcW w:w="0" w:type="auto"/>
            <w:vAlign w:val="center"/>
            <w:hideMark/>
          </w:tcPr>
          <w:p w14:paraId="20ED0D63" w14:textId="77777777" w:rsidR="00F009EC" w:rsidRPr="00F009EC" w:rsidRDefault="00F009EC" w:rsidP="00F009EC">
            <w:r w:rsidRPr="00F009EC">
              <w:t>三甲、</w:t>
            </w:r>
            <w:r w:rsidRPr="00F009EC">
              <w:rPr>
                <w:b/>
                <w:bCs/>
              </w:rPr>
              <w:t>ダイフク</w:t>
            </w:r>
          </w:p>
        </w:tc>
        <w:tc>
          <w:tcPr>
            <w:tcW w:w="0" w:type="auto"/>
            <w:vAlign w:val="center"/>
            <w:hideMark/>
          </w:tcPr>
          <w:p w14:paraId="412749DC" w14:textId="77777777" w:rsidR="00F009EC" w:rsidRPr="00F009EC" w:rsidRDefault="00F009EC" w:rsidP="00F009EC">
            <w:r w:rsidRPr="00F009EC">
              <w:rPr>
                <w:b/>
                <w:bCs/>
              </w:rPr>
              <w:t>イネーブラー産業のスケールアウト</w:t>
            </w:r>
            <w:r w:rsidRPr="00F009EC">
              <w:t>（マテハン量産化）によるROIC向上。</w:t>
            </w:r>
          </w:p>
        </w:tc>
      </w:tr>
      <w:tr w:rsidR="00F009EC" w:rsidRPr="00F009EC" w14:paraId="185FA493" w14:textId="77777777">
        <w:tc>
          <w:tcPr>
            <w:tcW w:w="0" w:type="auto"/>
            <w:vAlign w:val="center"/>
            <w:hideMark/>
          </w:tcPr>
          <w:p w14:paraId="663F17C5" w14:textId="77777777" w:rsidR="00F009EC" w:rsidRPr="00F009EC" w:rsidRDefault="00F009EC" w:rsidP="00F009EC">
            <w:r w:rsidRPr="00F009EC">
              <w:rPr>
                <w:b/>
                <w:bCs/>
              </w:rPr>
              <w:t>5. 金融・リスク層</w:t>
            </w:r>
          </w:p>
        </w:tc>
        <w:tc>
          <w:tcPr>
            <w:tcW w:w="0" w:type="auto"/>
            <w:vAlign w:val="center"/>
            <w:hideMark/>
          </w:tcPr>
          <w:p w14:paraId="1D7FD3E2" w14:textId="77777777" w:rsidR="00F009EC" w:rsidRPr="00F009EC" w:rsidRDefault="00F009EC" w:rsidP="00F009EC">
            <w:r w:rsidRPr="00F009EC">
              <w:t>責任分界点の動的定義と、データに基づくサプライチェーンファイナンス。</w:t>
            </w:r>
          </w:p>
        </w:tc>
        <w:tc>
          <w:tcPr>
            <w:tcW w:w="0" w:type="auto"/>
            <w:vAlign w:val="center"/>
            <w:hideMark/>
          </w:tcPr>
          <w:p w14:paraId="4BF04D7B" w14:textId="77777777" w:rsidR="00F009EC" w:rsidRPr="00F009EC" w:rsidRDefault="00F009EC" w:rsidP="00F009EC">
            <w:r w:rsidRPr="00F009EC">
              <w:t>損保ジャパン、DBJ、野村證券</w:t>
            </w:r>
          </w:p>
        </w:tc>
        <w:tc>
          <w:tcPr>
            <w:tcW w:w="0" w:type="auto"/>
            <w:vAlign w:val="center"/>
            <w:hideMark/>
          </w:tcPr>
          <w:p w14:paraId="5CD9535B" w14:textId="77777777" w:rsidR="00F009EC" w:rsidRPr="00F009EC" w:rsidRDefault="00F009EC" w:rsidP="00F009EC">
            <w:r w:rsidRPr="00F009EC">
              <w:t>共同物流における心理的・実務的障壁の完全撤廃。</w:t>
            </w:r>
          </w:p>
        </w:tc>
      </w:tr>
    </w:tbl>
    <w:p w14:paraId="28395F10" w14:textId="600C2C7D" w:rsidR="00F009EC" w:rsidRDefault="00F009EC" w:rsidP="00F009EC">
      <w:r w:rsidRPr="00F009EC">
        <w:t>この構造において、各レイヤーを跨いで利害を調整し、現場のオペレーションを統括する「ロジスティード」のようなオーケストレーターの存在が、</w:t>
      </w:r>
      <w:r>
        <w:t>エコシステムへ</w:t>
      </w:r>
      <w:r w:rsidRPr="00F009EC">
        <w:t>の実効性を左右します。</w:t>
      </w:r>
    </w:p>
    <w:p w14:paraId="4E139BE3" w14:textId="77777777" w:rsidR="00F009EC" w:rsidRDefault="00F009EC">
      <w:pPr>
        <w:widowControl/>
        <w:jc w:val="left"/>
      </w:pPr>
      <w:r>
        <w:br w:type="page"/>
      </w:r>
    </w:p>
    <w:p w14:paraId="3C00C37A" w14:textId="77777777" w:rsidR="00F009EC" w:rsidRPr="00F009EC" w:rsidRDefault="00F009EC" w:rsidP="00F009EC">
      <w:r w:rsidRPr="00F009EC">
        <w:lastRenderedPageBreak/>
        <w:t>--------------------------------------------------------------------------------</w:t>
      </w:r>
    </w:p>
    <w:p w14:paraId="0457F0EC" w14:textId="77777777" w:rsidR="00F009EC" w:rsidRPr="00F009EC" w:rsidRDefault="00F009EC" w:rsidP="00F009EC">
      <w:pPr>
        <w:rPr>
          <w:b/>
          <w:bCs/>
        </w:rPr>
      </w:pPr>
      <w:r w:rsidRPr="00F009EC">
        <w:rPr>
          <w:b/>
          <w:bCs/>
        </w:rPr>
        <w:t>3. データ駆動型ロジスティクスの確立とガバナンスの構築</w:t>
      </w:r>
    </w:p>
    <w:p w14:paraId="3CC239CB" w14:textId="77777777" w:rsidR="00F009EC" w:rsidRPr="00F009EC" w:rsidRDefault="00F009EC" w:rsidP="00F009EC">
      <w:pPr>
        <w:ind w:firstLineChars="100" w:firstLine="210"/>
      </w:pPr>
      <w:r w:rsidRPr="00F009EC">
        <w:t>共同輸配送を加速させる鍵は、データの「直視」にあります。各社のCLO（物流統括役員）が直面する「孤独な決断」を支えるため、物流ビッグデータラボは、個社の枠を超えて「本音の合意」を形成できる</w:t>
      </w:r>
      <w:r w:rsidRPr="00F009EC">
        <w:rPr>
          <w:b/>
          <w:bCs/>
        </w:rPr>
        <w:t>中立的なサンクチュアリ</w:t>
      </w:r>
      <w:r w:rsidRPr="00F009EC">
        <w:t>として機能しなければなりません。</w:t>
      </w:r>
    </w:p>
    <w:p w14:paraId="32F61A59" w14:textId="77777777" w:rsidR="00F009EC" w:rsidRDefault="00F009EC" w:rsidP="00F009EC"/>
    <w:p w14:paraId="022FF319" w14:textId="321D8EA5" w:rsidR="00F009EC" w:rsidRPr="00F009EC" w:rsidRDefault="00F009EC" w:rsidP="00F009EC">
      <w:pPr>
        <w:ind w:firstLineChars="100" w:firstLine="210"/>
      </w:pPr>
      <w:r w:rsidRPr="00F009EC">
        <w:t>データの標準化と金融的インセンティブ</w:t>
      </w:r>
    </w:p>
    <w:p w14:paraId="048DAB1A" w14:textId="77777777" w:rsidR="00F009EC" w:rsidRPr="00F009EC" w:rsidRDefault="00F009EC" w:rsidP="00F009EC">
      <w:proofErr w:type="spellStart"/>
      <w:r w:rsidRPr="00F009EC">
        <w:t>Hacobu</w:t>
      </w:r>
      <w:proofErr w:type="spellEnd"/>
      <w:r w:rsidRPr="00F009EC">
        <w:t>の「MOVO」プラットフォームが有する月間170万件超のトランザクションデータは、全運行の</w:t>
      </w:r>
      <w:r w:rsidRPr="00F009EC">
        <w:rPr>
          <w:b/>
          <w:bCs/>
        </w:rPr>
        <w:t>41.3%で共同輸配送の可能性がある</w:t>
      </w:r>
      <w:r w:rsidRPr="00F009EC">
        <w:t>ことを可視化しました。この標準化されたEDIデータは、単なる効率化の道具ではありません。事前出荷通知（ASN）との連動により、物流現場最大の負担である**「検品レス・即時決済」**を可能にする強力な「アメ」として機能し、業界全体のキャッシュフローを改善します。</w:t>
      </w:r>
    </w:p>
    <w:p w14:paraId="49E9AD95" w14:textId="77777777" w:rsidR="00F009EC" w:rsidRPr="00F009EC" w:rsidRDefault="00F009EC" w:rsidP="00F009EC">
      <w:r w:rsidRPr="00F009EC">
        <w:t>中立的なデータガバナンス体制</w:t>
      </w:r>
    </w:p>
    <w:p w14:paraId="24B51340" w14:textId="77777777" w:rsidR="00F009EC" w:rsidRPr="00F009EC" w:rsidRDefault="00F009EC" w:rsidP="00F009EC">
      <w:r w:rsidRPr="00F009EC">
        <w:t>競合間でのデータ共有における懸念を払拭するため、以下の要件を定義します。</w:t>
      </w:r>
    </w:p>
    <w:p w14:paraId="51B0388B" w14:textId="77777777" w:rsidR="00F009EC" w:rsidRPr="00F009EC" w:rsidRDefault="00F009EC" w:rsidP="00F009EC">
      <w:r w:rsidRPr="00F009EC">
        <w:t>• </w:t>
      </w:r>
      <w:r w:rsidRPr="00F009EC">
        <w:rPr>
          <w:b/>
          <w:bCs/>
        </w:rPr>
        <w:t>中立的な「データの門番」の設置:</w:t>
      </w:r>
      <w:r w:rsidRPr="00F009EC">
        <w:t> 外部専門家を含む「物流ビッグデータ・ガバナンス委員会」によるガイドライン監視。</w:t>
      </w:r>
    </w:p>
    <w:p w14:paraId="70761279" w14:textId="77777777" w:rsidR="00F009EC" w:rsidRPr="00F009EC" w:rsidRDefault="00F009EC" w:rsidP="00F009EC">
      <w:r w:rsidRPr="00F009EC">
        <w:t>• </w:t>
      </w:r>
      <w:r w:rsidRPr="00F009EC">
        <w:rPr>
          <w:b/>
          <w:bCs/>
        </w:rPr>
        <w:t>非競争領域の定義:</w:t>
      </w:r>
      <w:r w:rsidRPr="00F009EC">
        <w:t> 秘匿すべき顧客情報を保護しつつ、積載率向上に資する「動態・容積データ」のみを共有。</w:t>
      </w:r>
    </w:p>
    <w:p w14:paraId="7CAF8DF6" w14:textId="77777777" w:rsidR="00F009EC" w:rsidRDefault="00F009EC" w:rsidP="00F009EC">
      <w:r w:rsidRPr="00F009EC">
        <w:t>• </w:t>
      </w:r>
      <w:r w:rsidRPr="00F009EC">
        <w:rPr>
          <w:b/>
          <w:bCs/>
        </w:rPr>
        <w:t>客観的監査:</w:t>
      </w:r>
      <w:r w:rsidRPr="00F009EC">
        <w:t> 社外取締役・監査役によるプラットフォーム運用の公正性担保。</w:t>
      </w:r>
    </w:p>
    <w:p w14:paraId="6D82CD6D" w14:textId="4E0FC2BC" w:rsidR="00F009EC" w:rsidRDefault="00F009EC">
      <w:pPr>
        <w:widowControl/>
        <w:jc w:val="left"/>
      </w:pPr>
      <w:r>
        <w:br w:type="page"/>
      </w:r>
    </w:p>
    <w:p w14:paraId="75E606AF" w14:textId="77777777" w:rsidR="00F009EC" w:rsidRPr="00F009EC" w:rsidRDefault="00F009EC" w:rsidP="00F009EC">
      <w:r w:rsidRPr="00F009EC">
        <w:lastRenderedPageBreak/>
        <w:t>--------------------------------------------------------------------------------</w:t>
      </w:r>
    </w:p>
    <w:p w14:paraId="149B4C35" w14:textId="77777777" w:rsidR="00F009EC" w:rsidRPr="00F009EC" w:rsidRDefault="00F009EC" w:rsidP="00F009EC">
      <w:pPr>
        <w:rPr>
          <w:b/>
          <w:bCs/>
        </w:rPr>
      </w:pPr>
      <w:r w:rsidRPr="00F009EC">
        <w:rPr>
          <w:b/>
          <w:bCs/>
        </w:rPr>
        <w:t>4. 標準層と拠点層の実装：PIパケットとOCDCによる「産業OS」の刷新</w:t>
      </w:r>
    </w:p>
    <w:p w14:paraId="0E91D0BE" w14:textId="77777777" w:rsidR="00F009EC" w:rsidRDefault="00F009EC" w:rsidP="00F009EC"/>
    <w:p w14:paraId="24C73EA2" w14:textId="3D9B6C2D" w:rsidR="00F009EC" w:rsidRPr="00F009EC" w:rsidRDefault="00F009EC" w:rsidP="00F009EC">
      <w:pPr>
        <w:ind w:firstLineChars="100" w:firstLine="210"/>
      </w:pPr>
      <w:r w:rsidRPr="00F009EC">
        <w:t>物流の「箱」と「拠点」を共有財に変革することは、イネーブラー産業（マテハン・車両メーカー等）を「一品料理の個別受注」から「標準品の量産」へとシフトさせ、社会全体のコストを下げる**「イネーブラー産業のスケールアウト」**を意味します。</w:t>
      </w:r>
    </w:p>
    <w:p w14:paraId="0ABA9B3B" w14:textId="77777777" w:rsidR="00F009EC" w:rsidRPr="00F009EC" w:rsidRDefault="00F009EC" w:rsidP="00F009EC">
      <w:r w:rsidRPr="00F009EC">
        <w:t>標準化がもたらすROICの向上</w:t>
      </w:r>
    </w:p>
    <w:p w14:paraId="33E1D9C3" w14:textId="77777777" w:rsidR="00F009EC" w:rsidRPr="00F009EC" w:rsidRDefault="00F009EC" w:rsidP="00F009EC">
      <w:r w:rsidRPr="00F009EC">
        <w:t>三甲および大塚倉庫によるレンタルパレット導入の事例は、標準化が投資収益性（ROIC）をいかに改善するかを証明しました。特定のメーカー仕様を廃し、共有レンタルパレットへ移行することで、回送距離を</w:t>
      </w:r>
      <w:r w:rsidRPr="00F009EC">
        <w:rPr>
          <w:b/>
          <w:bCs/>
        </w:rPr>
        <w:t>97%削減</w:t>
      </w:r>
      <w:r w:rsidRPr="00F009EC">
        <w:t>、CO2排出量を</w:t>
      </w:r>
      <w:r w:rsidRPr="00F009EC">
        <w:rPr>
          <w:b/>
          <w:bCs/>
        </w:rPr>
        <w:t>116.9t-CO2/年低減</w:t>
      </w:r>
      <w:r w:rsidRPr="00F009EC">
        <w:t>しました。ダイフクのようなプロバイダーが自動化設備を**「Asset as a Service (</w:t>
      </w:r>
      <w:proofErr w:type="spellStart"/>
      <w:r w:rsidRPr="00F009EC">
        <w:t>AaaS</w:t>
      </w:r>
      <w:proofErr w:type="spellEnd"/>
      <w:r w:rsidRPr="00F009EC">
        <w:t>)」**として提供する土壌を整えることで、荷主の初期投資リスクを最小化し、最新鋭の自動化の恩恵を等しく享受できる体制を構築します。</w:t>
      </w:r>
    </w:p>
    <w:p w14:paraId="7A6BD192" w14:textId="77777777" w:rsidR="00F009EC" w:rsidRPr="00F009EC" w:rsidRDefault="00F009EC" w:rsidP="00F009EC">
      <w:r w:rsidRPr="00F009EC">
        <w:t>拠点戦略：ヤマトクロノゲートの開放とOCDC化</w:t>
      </w:r>
    </w:p>
    <w:p w14:paraId="1553D609" w14:textId="77777777" w:rsidR="00F009EC" w:rsidRPr="00F009EC" w:rsidRDefault="00F009EC" w:rsidP="00F009EC">
      <w:r w:rsidRPr="00F009EC">
        <w:t>垂直統合の象徴であったヤマトクロノゲートのような巨大ハブを「OCDC（オープンクロスドックセンター）」へと開放します。野村不動産等のマルチテナント拠点と連携させ、環状線周辺に物流機能を再配置することで、都市部の輻輳を排除し、在庫を持たない「通過型配送」の心臓部を創出します。</w:t>
      </w:r>
    </w:p>
    <w:p w14:paraId="4C46E4D2" w14:textId="77777777" w:rsidR="00F009EC" w:rsidRPr="00F009EC" w:rsidRDefault="00F009EC" w:rsidP="00F009EC">
      <w:r w:rsidRPr="00F009EC">
        <w:t>--------------------------------------------------------------------------------</w:t>
      </w:r>
    </w:p>
    <w:p w14:paraId="5F248F97" w14:textId="18A57737" w:rsidR="00F009EC" w:rsidRDefault="00F009EC">
      <w:pPr>
        <w:widowControl/>
        <w:jc w:val="left"/>
      </w:pPr>
      <w:r>
        <w:br w:type="page"/>
      </w:r>
    </w:p>
    <w:p w14:paraId="56C5260D" w14:textId="0B01CD10" w:rsidR="00F009EC" w:rsidRPr="00F009EC" w:rsidRDefault="00F009EC" w:rsidP="00F009EC">
      <w:pPr>
        <w:rPr>
          <w:b/>
          <w:bCs/>
        </w:rPr>
      </w:pPr>
      <w:r w:rsidRPr="00F009EC">
        <w:rPr>
          <w:b/>
          <w:bCs/>
        </w:rPr>
        <w:lastRenderedPageBreak/>
        <w:t>5. 輸送層の実装：幹線輸送と地域配送における「協調領域」の拡大</w:t>
      </w:r>
    </w:p>
    <w:p w14:paraId="6451B1CA" w14:textId="77777777" w:rsidR="00F009EC" w:rsidRPr="00F009EC" w:rsidRDefault="00F009EC" w:rsidP="00F009EC">
      <w:r w:rsidRPr="00F009EC">
        <w:t>輸送層においては、日野・いすゞの商用車連合を巻き込み、特定のドライバーに依存しない「移動アセット」の標準化を推進します。</w:t>
      </w:r>
    </w:p>
    <w:p w14:paraId="2D1E6FE5" w14:textId="77777777" w:rsidR="00F009EC" w:rsidRPr="00F009EC" w:rsidRDefault="00F009EC" w:rsidP="00F009EC">
      <w:r w:rsidRPr="00F009EC">
        <w:t>幹線輸送の「EKIDEN方式」</w:t>
      </w:r>
    </w:p>
    <w:p w14:paraId="03B7720C" w14:textId="77777777" w:rsidR="00F009EC" w:rsidRPr="00F009EC" w:rsidRDefault="00F009EC" w:rsidP="00F009EC">
      <w:r w:rsidRPr="00F009EC">
        <w:t>Next Logistics Japan（NLJ）が推進する「駅伝方式」を共通インフラ化します。異メーカー混在の隊列走行やヘッド交換式輸送を標準プロトコルとして実装することで、幹線輸送は個社の競争領域から、誰もが利用できる「OS」へと昇華します。</w:t>
      </w:r>
    </w:p>
    <w:p w14:paraId="2F9EDF46" w14:textId="77777777" w:rsidR="00F009EC" w:rsidRPr="00F009EC" w:rsidRDefault="00F009EC" w:rsidP="00F009EC">
      <w:r w:rsidRPr="00F009EC">
        <w:t>地域配送のグッドプラクティス：北海道モデル</w:t>
      </w:r>
    </w:p>
    <w:p w14:paraId="7CE83AA5" w14:textId="77777777" w:rsidR="00F009EC" w:rsidRPr="00F009EC" w:rsidRDefault="00F009EC" w:rsidP="00F009EC">
      <w:r w:rsidRPr="00F009EC">
        <w:t>サッポロドラッグストアー、PALTAC、佐川急便による北海道での事例は、既存インフラ活用の極致です。</w:t>
      </w:r>
    </w:p>
    <w:p w14:paraId="741ED150" w14:textId="77777777" w:rsidR="00F009EC" w:rsidRPr="00F009EC" w:rsidRDefault="00F009EC" w:rsidP="00F009EC">
      <w:r w:rsidRPr="00F009EC">
        <w:t>• </w:t>
      </w:r>
      <w:r w:rsidRPr="00F009EC">
        <w:rPr>
          <w:b/>
          <w:bCs/>
        </w:rPr>
        <w:t>パートナー車庫化（Partner Garage-</w:t>
      </w:r>
      <w:proofErr w:type="spellStart"/>
      <w:r w:rsidRPr="00F009EC">
        <w:rPr>
          <w:b/>
          <w:bCs/>
        </w:rPr>
        <w:t>ing</w:t>
      </w:r>
      <w:proofErr w:type="spellEnd"/>
      <w:r w:rsidRPr="00F009EC">
        <w:rPr>
          <w:b/>
          <w:bCs/>
        </w:rPr>
        <w:t>）:</w:t>
      </w:r>
      <w:r w:rsidRPr="00F009EC">
        <w:t> PALTACの**「RDC北海道」**を佐川急便の配送デポ・車庫として活用。</w:t>
      </w:r>
    </w:p>
    <w:p w14:paraId="5D50D030" w14:textId="77777777" w:rsidR="00F009EC" w:rsidRPr="00F009EC" w:rsidRDefault="00F009EC" w:rsidP="00F009EC">
      <w:pPr>
        <w:pBdr>
          <w:bottom w:val="single" w:sz="6" w:space="1" w:color="auto"/>
        </w:pBdr>
      </w:pPr>
      <w:r w:rsidRPr="00F009EC">
        <w:t>• </w:t>
      </w:r>
      <w:r w:rsidRPr="00F009EC">
        <w:rPr>
          <w:b/>
          <w:bCs/>
        </w:rPr>
        <w:t>動的なオペレーション:</w:t>
      </w:r>
      <w:r w:rsidRPr="00F009EC">
        <w:t> 直送エリアを30%縮小し、中継輸送を拡大することで、ドライバーの運行時間を</w:t>
      </w:r>
      <w:r w:rsidRPr="00F009EC">
        <w:rPr>
          <w:b/>
          <w:bCs/>
        </w:rPr>
        <w:t>20%以上（年間12,000時間）削減</w:t>
      </w:r>
      <w:r w:rsidRPr="00F009EC">
        <w:t>。 この成功は、荷主・荷受人・運送会社の3者が納品条件の緩和やインフラの相互開放に応じる「本音の協力」があれば、輸送困難地域でも持続可能な供給網が構築できることを示しています。</w:t>
      </w:r>
    </w:p>
    <w:p w14:paraId="73AD39D3" w14:textId="579052E1" w:rsidR="00F009EC" w:rsidRDefault="00F009EC">
      <w:pPr>
        <w:widowControl/>
        <w:jc w:val="left"/>
      </w:pPr>
      <w:r>
        <w:br w:type="page"/>
      </w:r>
    </w:p>
    <w:p w14:paraId="0C579E30" w14:textId="77777777" w:rsidR="00F009EC" w:rsidRPr="00F009EC" w:rsidRDefault="00F009EC" w:rsidP="00F009EC">
      <w:pPr>
        <w:rPr>
          <w:b/>
          <w:bCs/>
        </w:rPr>
      </w:pPr>
      <w:r w:rsidRPr="00F009EC">
        <w:rPr>
          <w:b/>
          <w:bCs/>
        </w:rPr>
        <w:lastRenderedPageBreak/>
        <w:t>6. 実装フェーズとマイルストーン：2030年PI実現への道</w:t>
      </w:r>
    </w:p>
    <w:p w14:paraId="185C5243" w14:textId="77777777" w:rsidR="00F009EC" w:rsidRDefault="00F009EC" w:rsidP="00F009EC">
      <w:r w:rsidRPr="00F009EC">
        <w:t>2025年を起点としたロードマップは、単なる計画ではなく、各CLOが遵守すべきKPIの集合体です。</w:t>
      </w:r>
    </w:p>
    <w:p w14:paraId="60AFB805" w14:textId="77777777" w:rsidR="00F009EC" w:rsidRPr="00F009EC" w:rsidRDefault="00F009EC" w:rsidP="00F009EC">
      <w:pPr>
        <w:rPr>
          <w:rFonts w:hint="eastAsia"/>
        </w:rPr>
      </w:pPr>
    </w:p>
    <w:p w14:paraId="28CC8662" w14:textId="39855BAE" w:rsidR="00F009EC" w:rsidRPr="00F009EC" w:rsidRDefault="00F009EC" w:rsidP="00F009EC">
      <w:r w:rsidRPr="00F009EC">
        <w:t>1.</w:t>
      </w:r>
      <w:r>
        <w:rPr>
          <w:rFonts w:hint="eastAsia"/>
        </w:rPr>
        <w:t>）</w:t>
      </w:r>
      <w:r w:rsidRPr="00F009EC">
        <w:rPr>
          <w:b/>
          <w:bCs/>
        </w:rPr>
        <w:t>準備・離陸期（2025年〜）</w:t>
      </w:r>
    </w:p>
    <w:p w14:paraId="494C3515" w14:textId="77777777" w:rsidR="00F009EC" w:rsidRPr="00F009EC" w:rsidRDefault="00F009EC" w:rsidP="00F009EC">
      <w:r w:rsidRPr="00F009EC">
        <w:t>    ◦ </w:t>
      </w:r>
      <w:r w:rsidRPr="00F009EC">
        <w:rPr>
          <w:b/>
          <w:bCs/>
        </w:rPr>
        <w:t>SIC「ロジスティクス・システム実装WG」の正式発足</w:t>
      </w:r>
      <w:r w:rsidRPr="00F009EC">
        <w:t>。</w:t>
      </w:r>
    </w:p>
    <w:p w14:paraId="0B9D2FCD" w14:textId="77777777" w:rsidR="00F009EC" w:rsidRPr="00F009EC" w:rsidRDefault="00F009EC" w:rsidP="00F009EC">
      <w:r w:rsidRPr="00F009EC">
        <w:t>    ◦ 物流ビッグデータラボによる実証実験を通じた、主要幹線の共同配送ルート特定。</w:t>
      </w:r>
    </w:p>
    <w:p w14:paraId="283F7A14" w14:textId="77777777" w:rsidR="00F009EC" w:rsidRPr="00F009EC" w:rsidRDefault="00F009EC" w:rsidP="00F009EC">
      <w:r w:rsidRPr="00F009EC">
        <w:t>    ◦ SICデータガバナンス委員会の設置と運用承認。</w:t>
      </w:r>
    </w:p>
    <w:p w14:paraId="263B2A5B" w14:textId="7FBED3E3" w:rsidR="00F009EC" w:rsidRPr="00F009EC" w:rsidRDefault="00F009EC" w:rsidP="00F009EC">
      <w:r w:rsidRPr="00F009EC">
        <w:t>2.</w:t>
      </w:r>
      <w:r>
        <w:rPr>
          <w:rFonts w:hint="eastAsia"/>
        </w:rPr>
        <w:t>）</w:t>
      </w:r>
      <w:r w:rsidRPr="00F009EC">
        <w:rPr>
          <w:b/>
          <w:bCs/>
        </w:rPr>
        <w:t>加速・拡大期（2027年〜）</w:t>
      </w:r>
    </w:p>
    <w:p w14:paraId="46D4BDC6" w14:textId="77777777" w:rsidR="00F009EC" w:rsidRPr="00F009EC" w:rsidRDefault="00F009EC" w:rsidP="00F009EC">
      <w:r w:rsidRPr="00F009EC">
        <w:t>    ◦ 首都圏環状線沿いでの第1号「OCDC」の本格稼働。</w:t>
      </w:r>
    </w:p>
    <w:p w14:paraId="6A81312A" w14:textId="77777777" w:rsidR="00F009EC" w:rsidRPr="00F009EC" w:rsidRDefault="00F009EC" w:rsidP="00F009EC">
      <w:r w:rsidRPr="00F009EC">
        <w:t>    ◦ 三甲・ダイフク主導によるPIパケット（標準容器）の業界横断的普及。</w:t>
      </w:r>
    </w:p>
    <w:p w14:paraId="79480919" w14:textId="77777777" w:rsidR="00F009EC" w:rsidRPr="00F009EC" w:rsidRDefault="00F009EC" w:rsidP="00F009EC">
      <w:r w:rsidRPr="00F009EC">
        <w:t>    ◦ 日野・いすゞによる異メーカー混在隊列走行の商用化。</w:t>
      </w:r>
    </w:p>
    <w:p w14:paraId="5B91F30D" w14:textId="3AD20303" w:rsidR="00F009EC" w:rsidRPr="00F009EC" w:rsidRDefault="00F009EC" w:rsidP="00F009EC">
      <w:r w:rsidRPr="00F009EC">
        <w:t>3.</w:t>
      </w:r>
      <w:r>
        <w:rPr>
          <w:rFonts w:hint="eastAsia"/>
        </w:rPr>
        <w:t>）</w:t>
      </w:r>
      <w:r w:rsidRPr="00F009EC">
        <w:rPr>
          <w:b/>
          <w:bCs/>
        </w:rPr>
        <w:t>社会実装・自律期（〜2030年）</w:t>
      </w:r>
    </w:p>
    <w:p w14:paraId="09261404" w14:textId="77777777" w:rsidR="00F009EC" w:rsidRPr="00F009EC" w:rsidRDefault="00F009EC" w:rsidP="00F009EC">
      <w:r w:rsidRPr="00F009EC">
        <w:t>    ◦ 日本版フィジカルインターネットの完成。</w:t>
      </w:r>
    </w:p>
    <w:p w14:paraId="14DA8C36" w14:textId="77777777" w:rsidR="00F009EC" w:rsidRPr="00F009EC" w:rsidRDefault="00F009EC" w:rsidP="00F009EC">
      <w:r w:rsidRPr="00F009EC">
        <w:t>    ◦ ASNデータ連動による「検品レス・即時決済」の全国普及。</w:t>
      </w:r>
    </w:p>
    <w:p w14:paraId="1F41B448" w14:textId="091DE9B3" w:rsidR="00F009EC" w:rsidRDefault="00F009EC" w:rsidP="00F009EC">
      <w:r w:rsidRPr="00F009EC">
        <w:t>    ◦ ROICを軸とした物流経営の定着と、産業OSの完全移行。</w:t>
      </w:r>
    </w:p>
    <w:p w14:paraId="5B9B3AB6" w14:textId="77777777" w:rsidR="00F009EC" w:rsidRDefault="00F009EC">
      <w:pPr>
        <w:widowControl/>
        <w:jc w:val="left"/>
      </w:pPr>
      <w:r>
        <w:br w:type="page"/>
      </w:r>
    </w:p>
    <w:p w14:paraId="36ADFEA1" w14:textId="77777777" w:rsidR="00F009EC" w:rsidRPr="00F009EC" w:rsidRDefault="00F009EC" w:rsidP="00F009EC">
      <w:r w:rsidRPr="00F009EC">
        <w:lastRenderedPageBreak/>
        <w:t>--------------------------------------------------------------------------------</w:t>
      </w:r>
    </w:p>
    <w:p w14:paraId="4C0E4379" w14:textId="77777777" w:rsidR="00F009EC" w:rsidRPr="00F009EC" w:rsidRDefault="00F009EC" w:rsidP="00F009EC">
      <w:pPr>
        <w:rPr>
          <w:b/>
          <w:bCs/>
        </w:rPr>
      </w:pPr>
      <w:r w:rsidRPr="00F009EC">
        <w:rPr>
          <w:b/>
          <w:bCs/>
        </w:rPr>
        <w:t>7. リスク管理と社会的使命：持続可能な産業OSの再定義</w:t>
      </w:r>
    </w:p>
    <w:p w14:paraId="3DDCE9F7" w14:textId="77777777" w:rsidR="00F009EC" w:rsidRDefault="00F009EC" w:rsidP="00F009EC"/>
    <w:p w14:paraId="5A3F62C1" w14:textId="6D284B48" w:rsidR="00F009EC" w:rsidRPr="00F009EC" w:rsidRDefault="00F009EC" w:rsidP="00F009EC">
      <w:pPr>
        <w:ind w:firstLineChars="100" w:firstLine="210"/>
      </w:pPr>
      <w:r w:rsidRPr="00F009EC">
        <w:t>共同物流の最大の障壁である「事故時の責任の穴」は、損保ジャパン等による**「共同物流専用保険」**で埋めます。トラックが他社の管理エリア、あるいは中継拠点に入る瞬間に責任分界点が切り替わる「動的なリスク管理」をシステムで担保することで、アセットシェアに対する心理的障壁を完全に払拭します。</w:t>
      </w:r>
    </w:p>
    <w:p w14:paraId="4CBC723C" w14:textId="77777777" w:rsidR="00F009EC" w:rsidRPr="00F009EC" w:rsidRDefault="00F009EC" w:rsidP="00F009EC">
      <w:r w:rsidRPr="00F009EC">
        <w:t>物流の変革は、単なるコスト削減ではありません。それは、日本の経済活動を支える「産業OS」そのものを書き換える、国家レベルのシステムイノベーションです。「競争はサービスで、協調はシステムで」というグランドルールのもと、今こそ個社の壁を越えた連帯が求められています。</w:t>
      </w:r>
    </w:p>
    <w:p w14:paraId="62AE81EB" w14:textId="77777777" w:rsidR="00F009EC" w:rsidRDefault="00F009EC" w:rsidP="00F009EC">
      <w:pPr>
        <w:rPr>
          <w:b/>
          <w:bCs/>
        </w:rPr>
      </w:pPr>
    </w:p>
    <w:p w14:paraId="747745C1" w14:textId="0213ABDC" w:rsidR="00F009EC" w:rsidRPr="00F009EC" w:rsidRDefault="00F009EC" w:rsidP="00F009EC">
      <w:pPr>
        <w:numPr>
          <w:ilvl w:val="0"/>
          <w:numId w:val="2"/>
        </w:numPr>
      </w:pPr>
      <w:r>
        <w:rPr>
          <w:rFonts w:hint="eastAsia"/>
          <w:b/>
          <w:bCs/>
        </w:rPr>
        <w:t>CLO：</w:t>
      </w:r>
      <w:r w:rsidRPr="00F009EC">
        <w:rPr>
          <w:b/>
          <w:bCs/>
        </w:rPr>
        <w:t>物流エグゼクティブの皆様へ</w:t>
      </w:r>
      <w:r w:rsidRPr="00F009EC">
        <w:t> この布陣を見てください。データ、インフラ、車両、製造、金融のすべてのレイヤーの覇者が、SICの旗印のもとに集結しようとしています。2030年の危機を回避し、「得られた30年」を切り拓くために。今すぐ、**SIC「ロジスティクス・システム実装WG」**や物流ビッグデータラボへの参画という具体的な第一歩を踏み出してください。貴社の決断が、日本の物流を再生させる原動力となります。</w:t>
      </w:r>
    </w:p>
    <w:p w14:paraId="6FA3076B" w14:textId="77777777" w:rsidR="00843A84" w:rsidRPr="00F009EC" w:rsidRDefault="00843A84"/>
    <w:sectPr w:rsidR="00843A84" w:rsidRPr="00F009EC" w:rsidSect="00F009EC">
      <w:pgSz w:w="16838" w:h="11906" w:orient="landscape"/>
      <w:pgMar w:top="1701" w:right="1985"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7115F"/>
    <w:multiLevelType w:val="hybridMultilevel"/>
    <w:tmpl w:val="673E3B6A"/>
    <w:lvl w:ilvl="0" w:tplc="30B85A1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8F81C26"/>
    <w:multiLevelType w:val="hybridMultilevel"/>
    <w:tmpl w:val="D2E4F038"/>
    <w:lvl w:ilvl="0" w:tplc="21DE8F9C">
      <w:start w:val="7"/>
      <w:numFmt w:val="bullet"/>
      <w:lvlText w:val="※"/>
      <w:lvlJc w:val="left"/>
      <w:pPr>
        <w:ind w:left="360" w:hanging="360"/>
      </w:pPr>
      <w:rPr>
        <w:rFonts w:ascii="游明朝" w:eastAsia="游明朝" w:hAnsi="游明朝" w:cstheme="minorBidi" w:hint="eastAsia"/>
        <w:b/>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697081084">
    <w:abstractNumId w:val="0"/>
  </w:num>
  <w:num w:numId="2" w16cid:durableId="801070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9EC"/>
    <w:rsid w:val="00033E31"/>
    <w:rsid w:val="000344D3"/>
    <w:rsid w:val="000372BA"/>
    <w:rsid w:val="000455F5"/>
    <w:rsid w:val="00047091"/>
    <w:rsid w:val="000472FC"/>
    <w:rsid w:val="00053ED8"/>
    <w:rsid w:val="0006019A"/>
    <w:rsid w:val="00072EE6"/>
    <w:rsid w:val="000844C6"/>
    <w:rsid w:val="00092E3B"/>
    <w:rsid w:val="000A0337"/>
    <w:rsid w:val="000A3E35"/>
    <w:rsid w:val="000C61B5"/>
    <w:rsid w:val="000D1D60"/>
    <w:rsid w:val="000D7C28"/>
    <w:rsid w:val="000F0E7B"/>
    <w:rsid w:val="000F63B4"/>
    <w:rsid w:val="000F7725"/>
    <w:rsid w:val="00102C1C"/>
    <w:rsid w:val="00104C8F"/>
    <w:rsid w:val="00106EED"/>
    <w:rsid w:val="001202DD"/>
    <w:rsid w:val="0013083A"/>
    <w:rsid w:val="0014754A"/>
    <w:rsid w:val="0015289E"/>
    <w:rsid w:val="001564E1"/>
    <w:rsid w:val="00164A70"/>
    <w:rsid w:val="001701DD"/>
    <w:rsid w:val="001737AD"/>
    <w:rsid w:val="00176C4B"/>
    <w:rsid w:val="001A35FA"/>
    <w:rsid w:val="001E10FC"/>
    <w:rsid w:val="001E3E60"/>
    <w:rsid w:val="001E3F50"/>
    <w:rsid w:val="001F11A0"/>
    <w:rsid w:val="001F2178"/>
    <w:rsid w:val="001F76C5"/>
    <w:rsid w:val="0020247D"/>
    <w:rsid w:val="00207813"/>
    <w:rsid w:val="00211C15"/>
    <w:rsid w:val="00223765"/>
    <w:rsid w:val="00233DC0"/>
    <w:rsid w:val="00236A18"/>
    <w:rsid w:val="0024192B"/>
    <w:rsid w:val="00242E83"/>
    <w:rsid w:val="00245FD1"/>
    <w:rsid w:val="00247880"/>
    <w:rsid w:val="002532FE"/>
    <w:rsid w:val="00255CDA"/>
    <w:rsid w:val="00262C3A"/>
    <w:rsid w:val="00262D69"/>
    <w:rsid w:val="00271056"/>
    <w:rsid w:val="00272DC9"/>
    <w:rsid w:val="00281AA7"/>
    <w:rsid w:val="00285F71"/>
    <w:rsid w:val="00292A93"/>
    <w:rsid w:val="00296DAA"/>
    <w:rsid w:val="002A468A"/>
    <w:rsid w:val="002A7026"/>
    <w:rsid w:val="002C6AAB"/>
    <w:rsid w:val="002D18D5"/>
    <w:rsid w:val="002D7A1C"/>
    <w:rsid w:val="002E1728"/>
    <w:rsid w:val="002E3470"/>
    <w:rsid w:val="00300641"/>
    <w:rsid w:val="0030663E"/>
    <w:rsid w:val="00321339"/>
    <w:rsid w:val="00345A44"/>
    <w:rsid w:val="00347175"/>
    <w:rsid w:val="00352665"/>
    <w:rsid w:val="00360D21"/>
    <w:rsid w:val="003704D8"/>
    <w:rsid w:val="00373A2C"/>
    <w:rsid w:val="00380175"/>
    <w:rsid w:val="0038235B"/>
    <w:rsid w:val="00392E4E"/>
    <w:rsid w:val="0039594F"/>
    <w:rsid w:val="003A133A"/>
    <w:rsid w:val="003A5DFA"/>
    <w:rsid w:val="003B5886"/>
    <w:rsid w:val="003D276A"/>
    <w:rsid w:val="003D30E5"/>
    <w:rsid w:val="003D48FE"/>
    <w:rsid w:val="003E45B5"/>
    <w:rsid w:val="003E53AA"/>
    <w:rsid w:val="003E7619"/>
    <w:rsid w:val="003F712D"/>
    <w:rsid w:val="004112E7"/>
    <w:rsid w:val="004129FC"/>
    <w:rsid w:val="00416156"/>
    <w:rsid w:val="00416957"/>
    <w:rsid w:val="00430986"/>
    <w:rsid w:val="00453AC4"/>
    <w:rsid w:val="00484FEE"/>
    <w:rsid w:val="00486D8F"/>
    <w:rsid w:val="004923EE"/>
    <w:rsid w:val="00497A33"/>
    <w:rsid w:val="004A47E3"/>
    <w:rsid w:val="004B2FBE"/>
    <w:rsid w:val="004C5667"/>
    <w:rsid w:val="004C6C00"/>
    <w:rsid w:val="004D18B4"/>
    <w:rsid w:val="004D5369"/>
    <w:rsid w:val="004D5A9F"/>
    <w:rsid w:val="004E306B"/>
    <w:rsid w:val="004E6A84"/>
    <w:rsid w:val="004E7F84"/>
    <w:rsid w:val="004F192C"/>
    <w:rsid w:val="004F2E9B"/>
    <w:rsid w:val="004F30C3"/>
    <w:rsid w:val="004F46E1"/>
    <w:rsid w:val="00502027"/>
    <w:rsid w:val="0050206D"/>
    <w:rsid w:val="00515431"/>
    <w:rsid w:val="00520574"/>
    <w:rsid w:val="00521015"/>
    <w:rsid w:val="005217A1"/>
    <w:rsid w:val="00526F03"/>
    <w:rsid w:val="00542B7E"/>
    <w:rsid w:val="0054705A"/>
    <w:rsid w:val="00561E06"/>
    <w:rsid w:val="00572A8F"/>
    <w:rsid w:val="00585DAE"/>
    <w:rsid w:val="00587E96"/>
    <w:rsid w:val="00597535"/>
    <w:rsid w:val="005A736A"/>
    <w:rsid w:val="005A74F8"/>
    <w:rsid w:val="005B09E8"/>
    <w:rsid w:val="005B37E0"/>
    <w:rsid w:val="005D59A3"/>
    <w:rsid w:val="005D614F"/>
    <w:rsid w:val="005E04A8"/>
    <w:rsid w:val="005E77EA"/>
    <w:rsid w:val="005F018D"/>
    <w:rsid w:val="005F70ED"/>
    <w:rsid w:val="0060113F"/>
    <w:rsid w:val="00636887"/>
    <w:rsid w:val="006507B5"/>
    <w:rsid w:val="00652D62"/>
    <w:rsid w:val="00657ECE"/>
    <w:rsid w:val="00671B68"/>
    <w:rsid w:val="0067300F"/>
    <w:rsid w:val="0067376F"/>
    <w:rsid w:val="00692814"/>
    <w:rsid w:val="00692C65"/>
    <w:rsid w:val="00693F5A"/>
    <w:rsid w:val="006A4D5E"/>
    <w:rsid w:val="006B56A9"/>
    <w:rsid w:val="006B7BC8"/>
    <w:rsid w:val="006D391A"/>
    <w:rsid w:val="006D5A8A"/>
    <w:rsid w:val="006E315C"/>
    <w:rsid w:val="006E5CC1"/>
    <w:rsid w:val="006E6BDC"/>
    <w:rsid w:val="00705BD5"/>
    <w:rsid w:val="0072121E"/>
    <w:rsid w:val="007374CD"/>
    <w:rsid w:val="00753AE8"/>
    <w:rsid w:val="00755D98"/>
    <w:rsid w:val="00763593"/>
    <w:rsid w:val="00764AAE"/>
    <w:rsid w:val="007718D6"/>
    <w:rsid w:val="00775679"/>
    <w:rsid w:val="00775693"/>
    <w:rsid w:val="00780170"/>
    <w:rsid w:val="00780701"/>
    <w:rsid w:val="00782C04"/>
    <w:rsid w:val="00786725"/>
    <w:rsid w:val="007A260F"/>
    <w:rsid w:val="007A359B"/>
    <w:rsid w:val="007C2080"/>
    <w:rsid w:val="007D6447"/>
    <w:rsid w:val="007E13AA"/>
    <w:rsid w:val="007F720E"/>
    <w:rsid w:val="00804968"/>
    <w:rsid w:val="00805F80"/>
    <w:rsid w:val="00822007"/>
    <w:rsid w:val="00822F06"/>
    <w:rsid w:val="008240D9"/>
    <w:rsid w:val="00826BFE"/>
    <w:rsid w:val="00827B8D"/>
    <w:rsid w:val="008328DF"/>
    <w:rsid w:val="00834DD2"/>
    <w:rsid w:val="00843A84"/>
    <w:rsid w:val="008625BB"/>
    <w:rsid w:val="00864E32"/>
    <w:rsid w:val="00866CD2"/>
    <w:rsid w:val="00871F51"/>
    <w:rsid w:val="00874B60"/>
    <w:rsid w:val="008773CB"/>
    <w:rsid w:val="0088399A"/>
    <w:rsid w:val="008A10DF"/>
    <w:rsid w:val="008A2582"/>
    <w:rsid w:val="008B6BCB"/>
    <w:rsid w:val="008C0A3B"/>
    <w:rsid w:val="008C56FE"/>
    <w:rsid w:val="008C72B7"/>
    <w:rsid w:val="008D4108"/>
    <w:rsid w:val="008E7D2F"/>
    <w:rsid w:val="008F6498"/>
    <w:rsid w:val="00901DC9"/>
    <w:rsid w:val="00901E87"/>
    <w:rsid w:val="00916615"/>
    <w:rsid w:val="009174BF"/>
    <w:rsid w:val="00917A73"/>
    <w:rsid w:val="00921082"/>
    <w:rsid w:val="00942940"/>
    <w:rsid w:val="0094557E"/>
    <w:rsid w:val="00954C36"/>
    <w:rsid w:val="009577ED"/>
    <w:rsid w:val="0096588C"/>
    <w:rsid w:val="009668C0"/>
    <w:rsid w:val="00971461"/>
    <w:rsid w:val="00976F18"/>
    <w:rsid w:val="00977795"/>
    <w:rsid w:val="009A3A85"/>
    <w:rsid w:val="009B1F0D"/>
    <w:rsid w:val="009B557A"/>
    <w:rsid w:val="009D09F0"/>
    <w:rsid w:val="009D7678"/>
    <w:rsid w:val="009F2315"/>
    <w:rsid w:val="009F4DE5"/>
    <w:rsid w:val="009F58F0"/>
    <w:rsid w:val="00A01D2F"/>
    <w:rsid w:val="00A07C91"/>
    <w:rsid w:val="00A10BBD"/>
    <w:rsid w:val="00A12051"/>
    <w:rsid w:val="00A33BDA"/>
    <w:rsid w:val="00A53D4B"/>
    <w:rsid w:val="00A63484"/>
    <w:rsid w:val="00A6758A"/>
    <w:rsid w:val="00A77208"/>
    <w:rsid w:val="00AB4A7B"/>
    <w:rsid w:val="00AC3797"/>
    <w:rsid w:val="00AC3A71"/>
    <w:rsid w:val="00AE3FB2"/>
    <w:rsid w:val="00AF1780"/>
    <w:rsid w:val="00AF30B3"/>
    <w:rsid w:val="00B04C60"/>
    <w:rsid w:val="00B22A47"/>
    <w:rsid w:val="00B45A82"/>
    <w:rsid w:val="00B47995"/>
    <w:rsid w:val="00B63B71"/>
    <w:rsid w:val="00B67183"/>
    <w:rsid w:val="00B709D3"/>
    <w:rsid w:val="00B70ED9"/>
    <w:rsid w:val="00B73CC1"/>
    <w:rsid w:val="00B82881"/>
    <w:rsid w:val="00B95087"/>
    <w:rsid w:val="00BA22DB"/>
    <w:rsid w:val="00BB7CDA"/>
    <w:rsid w:val="00BE5401"/>
    <w:rsid w:val="00BF799A"/>
    <w:rsid w:val="00C04584"/>
    <w:rsid w:val="00C05DE2"/>
    <w:rsid w:val="00C413F2"/>
    <w:rsid w:val="00C447A6"/>
    <w:rsid w:val="00C50586"/>
    <w:rsid w:val="00C50DD8"/>
    <w:rsid w:val="00C63291"/>
    <w:rsid w:val="00C716FF"/>
    <w:rsid w:val="00C74695"/>
    <w:rsid w:val="00C77575"/>
    <w:rsid w:val="00C809DD"/>
    <w:rsid w:val="00C93950"/>
    <w:rsid w:val="00CA0354"/>
    <w:rsid w:val="00CB0BAA"/>
    <w:rsid w:val="00CC11EA"/>
    <w:rsid w:val="00CC6FA8"/>
    <w:rsid w:val="00CD0279"/>
    <w:rsid w:val="00CF3DCF"/>
    <w:rsid w:val="00D03438"/>
    <w:rsid w:val="00D03ED9"/>
    <w:rsid w:val="00D06394"/>
    <w:rsid w:val="00D144EB"/>
    <w:rsid w:val="00D17750"/>
    <w:rsid w:val="00D427B1"/>
    <w:rsid w:val="00D43D94"/>
    <w:rsid w:val="00D6144F"/>
    <w:rsid w:val="00D81258"/>
    <w:rsid w:val="00D841CB"/>
    <w:rsid w:val="00D87712"/>
    <w:rsid w:val="00D9036E"/>
    <w:rsid w:val="00D94099"/>
    <w:rsid w:val="00DD45B6"/>
    <w:rsid w:val="00DF17A9"/>
    <w:rsid w:val="00DF3144"/>
    <w:rsid w:val="00DF35F4"/>
    <w:rsid w:val="00DF4EE9"/>
    <w:rsid w:val="00DF51F2"/>
    <w:rsid w:val="00E03B4B"/>
    <w:rsid w:val="00E0408C"/>
    <w:rsid w:val="00E0681E"/>
    <w:rsid w:val="00E1631B"/>
    <w:rsid w:val="00E23560"/>
    <w:rsid w:val="00E24280"/>
    <w:rsid w:val="00E24F5B"/>
    <w:rsid w:val="00E362D1"/>
    <w:rsid w:val="00E422D3"/>
    <w:rsid w:val="00E5271A"/>
    <w:rsid w:val="00E53D73"/>
    <w:rsid w:val="00E60485"/>
    <w:rsid w:val="00E644F9"/>
    <w:rsid w:val="00E66FEA"/>
    <w:rsid w:val="00E74F9F"/>
    <w:rsid w:val="00E80B8A"/>
    <w:rsid w:val="00E8550D"/>
    <w:rsid w:val="00E93D06"/>
    <w:rsid w:val="00E96596"/>
    <w:rsid w:val="00E974DC"/>
    <w:rsid w:val="00EB026E"/>
    <w:rsid w:val="00EB41B3"/>
    <w:rsid w:val="00EC6952"/>
    <w:rsid w:val="00ED09BD"/>
    <w:rsid w:val="00ED2608"/>
    <w:rsid w:val="00EE1362"/>
    <w:rsid w:val="00EE6866"/>
    <w:rsid w:val="00EE6938"/>
    <w:rsid w:val="00EF3608"/>
    <w:rsid w:val="00EF43D0"/>
    <w:rsid w:val="00F009EC"/>
    <w:rsid w:val="00F00A8A"/>
    <w:rsid w:val="00F00CE4"/>
    <w:rsid w:val="00F034C6"/>
    <w:rsid w:val="00F03C2A"/>
    <w:rsid w:val="00F204EB"/>
    <w:rsid w:val="00F24888"/>
    <w:rsid w:val="00F44F9C"/>
    <w:rsid w:val="00F458EE"/>
    <w:rsid w:val="00F45E9A"/>
    <w:rsid w:val="00F466BF"/>
    <w:rsid w:val="00F51540"/>
    <w:rsid w:val="00F52304"/>
    <w:rsid w:val="00F5371B"/>
    <w:rsid w:val="00F607F5"/>
    <w:rsid w:val="00F82FE7"/>
    <w:rsid w:val="00F8549B"/>
    <w:rsid w:val="00F90DB9"/>
    <w:rsid w:val="00F950D2"/>
    <w:rsid w:val="00F95FCE"/>
    <w:rsid w:val="00F96C88"/>
    <w:rsid w:val="00FD4AE7"/>
    <w:rsid w:val="00FD5628"/>
    <w:rsid w:val="00FD6E09"/>
    <w:rsid w:val="00FE26E5"/>
    <w:rsid w:val="00FE3143"/>
    <w:rsid w:val="00FF6D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83BFA77"/>
  <w15:chartTrackingRefBased/>
  <w15:docId w15:val="{779728DB-BF60-4851-87F4-4FE67DC81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009E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009E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009E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009E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009E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009E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009E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009E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009E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009E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009E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009E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009E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009E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009E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009E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009E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009E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009E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009E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09E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009E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009EC"/>
    <w:pPr>
      <w:spacing w:before="160" w:after="160"/>
      <w:jc w:val="center"/>
    </w:pPr>
    <w:rPr>
      <w:i/>
      <w:iCs/>
      <w:color w:val="404040" w:themeColor="text1" w:themeTint="BF"/>
    </w:rPr>
  </w:style>
  <w:style w:type="character" w:customStyle="1" w:styleId="a8">
    <w:name w:val="引用文 (文字)"/>
    <w:basedOn w:val="a0"/>
    <w:link w:val="a7"/>
    <w:uiPriority w:val="29"/>
    <w:rsid w:val="00F009EC"/>
    <w:rPr>
      <w:i/>
      <w:iCs/>
      <w:color w:val="404040" w:themeColor="text1" w:themeTint="BF"/>
    </w:rPr>
  </w:style>
  <w:style w:type="paragraph" w:styleId="a9">
    <w:name w:val="List Paragraph"/>
    <w:basedOn w:val="a"/>
    <w:uiPriority w:val="34"/>
    <w:qFormat/>
    <w:rsid w:val="00F009EC"/>
    <w:pPr>
      <w:ind w:left="720"/>
      <w:contextualSpacing/>
    </w:pPr>
  </w:style>
  <w:style w:type="character" w:styleId="21">
    <w:name w:val="Intense Emphasis"/>
    <w:basedOn w:val="a0"/>
    <w:uiPriority w:val="21"/>
    <w:qFormat/>
    <w:rsid w:val="00F009EC"/>
    <w:rPr>
      <w:i/>
      <w:iCs/>
      <w:color w:val="2F5496" w:themeColor="accent1" w:themeShade="BF"/>
    </w:rPr>
  </w:style>
  <w:style w:type="paragraph" w:styleId="22">
    <w:name w:val="Intense Quote"/>
    <w:basedOn w:val="a"/>
    <w:next w:val="a"/>
    <w:link w:val="23"/>
    <w:uiPriority w:val="30"/>
    <w:qFormat/>
    <w:rsid w:val="00F009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F009EC"/>
    <w:rPr>
      <w:i/>
      <w:iCs/>
      <w:color w:val="2F5496" w:themeColor="accent1" w:themeShade="BF"/>
    </w:rPr>
  </w:style>
  <w:style w:type="character" w:styleId="24">
    <w:name w:val="Intense Reference"/>
    <w:basedOn w:val="a0"/>
    <w:uiPriority w:val="32"/>
    <w:qFormat/>
    <w:rsid w:val="00F009E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642</Words>
  <Characters>3665</Characters>
  <Application>Microsoft Office Word</Application>
  <DocSecurity>0</DocSecurity>
  <Lines>30</Lines>
  <Paragraphs>8</Paragraphs>
  <ScaleCrop>false</ScaleCrop>
  <Company/>
  <LinksUpToDate>false</LinksUpToDate>
  <CharactersWithSpaces>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Fujino</dc:creator>
  <cp:keywords/>
  <dc:description/>
  <cp:lastModifiedBy>N. Fujino</cp:lastModifiedBy>
  <cp:revision>1</cp:revision>
  <dcterms:created xsi:type="dcterms:W3CDTF">2026-02-16T23:57:00Z</dcterms:created>
  <dcterms:modified xsi:type="dcterms:W3CDTF">2026-02-17T00:04:00Z</dcterms:modified>
</cp:coreProperties>
</file>